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4198" w:rsidRDefault="00CF233A">
      <w:pPr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Приложение №2 к Техническому заданию</w:t>
      </w:r>
    </w:p>
    <w:p w:rsidR="008D4198" w:rsidRDefault="00CF233A" w:rsidP="0027336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Техническая спецификация.</w:t>
      </w:r>
    </w:p>
    <w:tbl>
      <w:tblPr>
        <w:tblStyle w:val="af8"/>
        <w:tblW w:w="15451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3827"/>
        <w:gridCol w:w="2835"/>
        <w:gridCol w:w="993"/>
        <w:gridCol w:w="850"/>
        <w:gridCol w:w="1559"/>
        <w:gridCol w:w="2410"/>
      </w:tblGrid>
      <w:tr w:rsidR="00DD7717" w:rsidTr="00DD7717">
        <w:trPr>
          <w:trHeight w:val="367"/>
        </w:trPr>
        <w:tc>
          <w:tcPr>
            <w:tcW w:w="567" w:type="dxa"/>
            <w:vMerge w:val="restart"/>
          </w:tcPr>
          <w:p w:rsidR="00DD7717" w:rsidRDefault="00DD771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D7717" w:rsidRDefault="00DD7717" w:rsidP="00DD7717">
            <w:pPr>
              <w:ind w:firstLine="2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410" w:type="dxa"/>
            <w:vMerge w:val="restart"/>
          </w:tcPr>
          <w:p w:rsidR="00DD7717" w:rsidRDefault="00DD771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D7717" w:rsidRDefault="00DD771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3827" w:type="dxa"/>
            <w:vMerge w:val="restart"/>
            <w:vAlign w:val="center"/>
          </w:tcPr>
          <w:p w:rsidR="00DD7717" w:rsidRDefault="00DD771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2835" w:type="dxa"/>
            <w:vMerge w:val="restart"/>
            <w:vAlign w:val="center"/>
          </w:tcPr>
          <w:p w:rsidR="00DD7717" w:rsidRDefault="00DD771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Значения</w:t>
            </w:r>
          </w:p>
        </w:tc>
        <w:tc>
          <w:tcPr>
            <w:tcW w:w="5812" w:type="dxa"/>
            <w:gridSpan w:val="4"/>
          </w:tcPr>
          <w:p w:rsidR="00DD7717" w:rsidRDefault="00DD771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Предлагаемый аналог (заполняется Участником)</w:t>
            </w:r>
          </w:p>
        </w:tc>
      </w:tr>
      <w:tr w:rsidR="00DD7717" w:rsidTr="00273369">
        <w:trPr>
          <w:trHeight w:val="505"/>
        </w:trPr>
        <w:tc>
          <w:tcPr>
            <w:tcW w:w="567" w:type="dxa"/>
            <w:vMerge/>
          </w:tcPr>
          <w:p w:rsidR="00DD7717" w:rsidRDefault="00DD771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DD7717" w:rsidRDefault="00DD771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:rsidR="00DD7717" w:rsidRDefault="00DD771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  <w:vAlign w:val="center"/>
          </w:tcPr>
          <w:p w:rsidR="00DD7717" w:rsidRDefault="00DD771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DD7717" w:rsidRDefault="00DD771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Марка, модель</w:t>
            </w:r>
          </w:p>
        </w:tc>
        <w:tc>
          <w:tcPr>
            <w:tcW w:w="850" w:type="dxa"/>
          </w:tcPr>
          <w:p w:rsidR="00DD7717" w:rsidRDefault="00DD771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Изготовитель</w:t>
            </w:r>
          </w:p>
        </w:tc>
        <w:tc>
          <w:tcPr>
            <w:tcW w:w="1559" w:type="dxa"/>
          </w:tcPr>
          <w:p w:rsidR="00DD7717" w:rsidRDefault="00DD7717" w:rsidP="00273369">
            <w:pPr>
              <w:ind w:left="-110" w:right="-11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№ записи в реестре Минпромторга</w:t>
            </w:r>
          </w:p>
        </w:tc>
        <w:tc>
          <w:tcPr>
            <w:tcW w:w="2410" w:type="dxa"/>
          </w:tcPr>
          <w:p w:rsidR="00DD7717" w:rsidRDefault="00DD771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Значения</w:t>
            </w:r>
          </w:p>
        </w:tc>
      </w:tr>
      <w:tr w:rsidR="00273369" w:rsidTr="00273369">
        <w:tc>
          <w:tcPr>
            <w:tcW w:w="567" w:type="dxa"/>
            <w:vMerge w:val="restart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  <w:vMerge w:val="restart"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Счетчик электрической энергии статический однофазный ФОБОС 1 230В 5(100)А IQORLM(1)-C</w:t>
            </w: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Класс точности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Активная энергия: 1 (ГОСТ 31819.21-2012), реактивная энергия: 1 (ГОСТ 31819.23-2012)</w:t>
            </w:r>
          </w:p>
        </w:tc>
        <w:tc>
          <w:tcPr>
            <w:tcW w:w="993" w:type="dxa"/>
            <w:vMerge w:val="restart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 w:val="restart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 w:val="restart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Номинальное напряжение переменного тока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230 В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Базовый (максимальный) ток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5 (100)A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Технология основного информационного обмена данными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Радиоканал, протокол NB-</w:t>
            </w:r>
            <w:proofErr w:type="spellStart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Fi</w:t>
            </w:r>
            <w:proofErr w:type="spellEnd"/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Частотный диапазон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868,8 МГц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Мощность передачи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до 25 мВт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Способы информационного обмена с верхним уровнем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Периодически (с настраиваемым периодом 1-60 минут), по запросу, спорадически (по факту наступления запрограммированного события)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Дальность передачи данных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До 5 км. в городской среде, до 10 км. в открытом пространстве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Шифрование данных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+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Дополнительные интерфейсы связи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RS-485 (опционально)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shd w:val="clear" w:color="auto" w:fill="F9F9F9"/>
              <w:rPr>
                <w:rFonts w:ascii="Times New Roman" w:eastAsia="Times New Roman" w:hAnsi="Times New Roman" w:cs="Times New Roman"/>
                <w:color w:val="191E2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E22"/>
                <w:sz w:val="20"/>
                <w:szCs w:val="20"/>
                <w:lang w:eastAsia="ru-RU"/>
              </w:rPr>
              <w:t>Поддержка протоколов обмена</w:t>
            </w:r>
          </w:p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СПОДЭС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Встроенное реле управления нагрузкой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Да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Контроль параметров качества сети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Опционально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Контроль тока в нулевом проводе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Да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Габариты, не более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137 х 106 х 60мм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Вес, не более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700 г.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eastAsia="Times New Roman" w:hAnsi="Times New Roman" w:cs="Times New Roman"/>
                <w:color w:val="191E22"/>
                <w:sz w:val="20"/>
                <w:szCs w:val="20"/>
                <w:lang w:eastAsia="ru-RU"/>
              </w:rPr>
              <w:t>Диапазон рабочих температур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от -40 до +70 °C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Аттестация оборудования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Аттестовано в ПАО "</w:t>
            </w:r>
            <w:proofErr w:type="spellStart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"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Интеграция с ИВК верхнего уровня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АльфаЦЕНТР</w:t>
            </w:r>
            <w:proofErr w:type="spellEnd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Энфорс</w:t>
            </w:r>
            <w:proofErr w:type="spellEnd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.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Гарантийный срок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60 мес.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proofErr w:type="spellStart"/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Межповерочный</w:t>
            </w:r>
            <w:proofErr w:type="spellEnd"/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 xml:space="preserve"> интервал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16 лет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Срок службы, не менее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30 лет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 w:val="restart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2410" w:type="dxa"/>
            <w:vMerge w:val="restart"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Счетчик электрической энергии статический однофазный ФОБОС 1 230В 5(100)А IQORLM(1)-C 4G(LTE)</w:t>
            </w: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Класс точности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Активная энергия: 1 (ГОСТ 31819.21-2012), реактивная энергия: 1 (ГОСТ 31819.23-2012)</w:t>
            </w:r>
          </w:p>
        </w:tc>
        <w:tc>
          <w:tcPr>
            <w:tcW w:w="993" w:type="dxa"/>
            <w:vMerge w:val="restart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 w:val="restart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 w:val="restart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Номинальное напряжение переменного тока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230 В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Базовый (максимальный) ток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5 (100)A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Технология основного информационного обмена данными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Радиоканал, протокол NB-</w:t>
            </w:r>
            <w:proofErr w:type="spellStart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Fi</w:t>
            </w:r>
            <w:proofErr w:type="spellEnd"/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 xml:space="preserve">Наличие сменного модуля для </w:t>
            </w: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  <w:lang w:val="en-US"/>
              </w:rPr>
              <w:t>GSM</w:t>
            </w: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 xml:space="preserve"> связи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Да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 xml:space="preserve">Частотный диапазон для </w:t>
            </w: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  <w:lang w:val="en-US"/>
              </w:rPr>
              <w:t>NB</w:t>
            </w: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-</w:t>
            </w: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  <w:lang w:val="en-US"/>
              </w:rPr>
              <w:t>Fi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868,8 МГц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 xml:space="preserve">Мощность передачи для </w:t>
            </w: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  <w:lang w:val="en-US"/>
              </w:rPr>
              <w:t>NB</w:t>
            </w: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-</w:t>
            </w: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  <w:lang w:val="en-US"/>
              </w:rPr>
              <w:t>Fi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до 25 мВт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Способы информационного обмена с верхним уровнем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Периодически (с настраиваемым периодом 1-60 минут), по запросу, спорадически (по факту наступления запрограммированного события)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Дальность передачи данных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До 5 км. в городской среде, до 10 км. в открытом пространстве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Шифрование данных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+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Дополнительные интерфейсы связи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RS-485 (опционально)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shd w:val="clear" w:color="auto" w:fill="F9F9F9"/>
              <w:rPr>
                <w:rFonts w:ascii="Times New Roman" w:eastAsia="Times New Roman" w:hAnsi="Times New Roman" w:cs="Times New Roman"/>
                <w:color w:val="191E2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E22"/>
                <w:sz w:val="20"/>
                <w:szCs w:val="20"/>
                <w:lang w:eastAsia="ru-RU"/>
              </w:rPr>
              <w:t>Поддержка протоколов обмена</w:t>
            </w:r>
          </w:p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СПОДЭС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Встроенное реле управления нагрузкой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Да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Контроль параметров качества сети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Опционально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Контроль тока в нулевом проводе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Да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Габариты, не более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183 x 106 x 60 мм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Вес, не более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700 г.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shd w:val="clear" w:color="auto" w:fill="F9F9F9"/>
              <w:rPr>
                <w:rFonts w:ascii="Times New Roman" w:eastAsia="Times New Roman" w:hAnsi="Times New Roman" w:cs="Times New Roman"/>
                <w:color w:val="191E2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E22"/>
                <w:sz w:val="20"/>
                <w:szCs w:val="20"/>
                <w:lang w:eastAsia="ru-RU"/>
              </w:rPr>
              <w:t>Диапазон рабочих температур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от -40 до +70 °C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Аттестация оборудования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Аттестовано в ПАО "</w:t>
            </w:r>
            <w:proofErr w:type="spellStart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"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Интеграция с ИВК верхнего уровня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АльфаЦЕНТР</w:t>
            </w:r>
            <w:proofErr w:type="spellEnd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Энфорс</w:t>
            </w:r>
            <w:proofErr w:type="spellEnd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.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Гарантийный срок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60 мес.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proofErr w:type="spellStart"/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Межповерочный</w:t>
            </w:r>
            <w:proofErr w:type="spellEnd"/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 xml:space="preserve"> интервал, не менее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16 лет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 w:val="restart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0" w:type="dxa"/>
            <w:vMerge w:val="restart"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Счетчик электрической энергии статический однофазный ФОБОС 1 230В 5(100)А IQORG(4)L(1)-C </w:t>
            </w: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Класс точности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Активная энергия: 1 (ГОСТ 31819.21-2012), реактивная энергия: 1 (ГОСТ 31819.23-2012)</w:t>
            </w:r>
          </w:p>
        </w:tc>
        <w:tc>
          <w:tcPr>
            <w:tcW w:w="993" w:type="dxa"/>
            <w:vMerge w:val="restart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 w:val="restart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 w:val="restart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Номинальное напряжение переменного тока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230 В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Базовый (максимальный) ток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5 (100)A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Технология основного информационного обмена данными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Радиоканал, протокол NB-</w:t>
            </w:r>
            <w:proofErr w:type="spellStart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Fi</w:t>
            </w:r>
            <w:proofErr w:type="spellEnd"/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 xml:space="preserve">Наличие встроенного модуля для </w:t>
            </w: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  <w:lang w:val="en-US"/>
              </w:rPr>
              <w:t>GSM</w:t>
            </w: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 xml:space="preserve"> связи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Да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 xml:space="preserve">Частотный диапазон для </w:t>
            </w: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  <w:lang w:val="en-US"/>
              </w:rPr>
              <w:t>NB</w:t>
            </w: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-</w:t>
            </w: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  <w:lang w:val="en-US"/>
              </w:rPr>
              <w:t>Fi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868,8 МГц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 xml:space="preserve">Мощность передачи для </w:t>
            </w: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  <w:lang w:val="en-US"/>
              </w:rPr>
              <w:t>NB</w:t>
            </w: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-</w:t>
            </w: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  <w:lang w:val="en-US"/>
              </w:rPr>
              <w:t>Fi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до 25 мВт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Способы информационного обмена с верхним уровнем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Периодически (с настраиваемым периодом 1-60 минут), по запросу, спорадически (по факту наступления запрограммированного события)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Дальность передачи данных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До 5 км. в городской среде, до 10 км. в открытом пространстве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Шифрование данных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+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Дополнительные интерфейсы связи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RS-485 (опционально)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shd w:val="clear" w:color="auto" w:fill="F9F9F9"/>
              <w:rPr>
                <w:rFonts w:ascii="Times New Roman" w:eastAsia="Times New Roman" w:hAnsi="Times New Roman" w:cs="Times New Roman"/>
                <w:color w:val="191E2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E22"/>
                <w:sz w:val="20"/>
                <w:szCs w:val="20"/>
                <w:lang w:eastAsia="ru-RU"/>
              </w:rPr>
              <w:t>Поддержка протоколов обмена</w:t>
            </w:r>
          </w:p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СПОДЭС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Встроенное реле управления нагрузкой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Да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Контроль параметров качества сети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Опционально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Контроль тока в нулевом проводе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Да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Габариты, не более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159 x 106 x 60 мм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Вес, не более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700 г.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shd w:val="clear" w:color="auto" w:fill="F9F9F9"/>
              <w:rPr>
                <w:rFonts w:ascii="Times New Roman" w:eastAsia="Times New Roman" w:hAnsi="Times New Roman" w:cs="Times New Roman"/>
                <w:color w:val="191E2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E22"/>
                <w:sz w:val="20"/>
                <w:szCs w:val="20"/>
                <w:lang w:eastAsia="ru-RU"/>
              </w:rPr>
              <w:t>Диапазон рабочих температур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от -40 до +70 °C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Аттестация оборудования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Аттестовано в ПАО "</w:t>
            </w:r>
            <w:proofErr w:type="spellStart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"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Интеграция с ИВК верхнего уровня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АльфаЦЕНТР</w:t>
            </w:r>
            <w:proofErr w:type="spellEnd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Энфорс</w:t>
            </w:r>
            <w:proofErr w:type="spellEnd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.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Гарантийный срок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60 мес.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proofErr w:type="spellStart"/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Межповерочный</w:t>
            </w:r>
            <w:proofErr w:type="spellEnd"/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 xml:space="preserve"> интервал, не менее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16 лет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 w:val="restart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10" w:type="dxa"/>
            <w:vMerge w:val="restart"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Счетчик электрической энергии статический однофазный ФОБОС 1 230В 5(100)А IQOLSM(1)-C (наружной установки, "Сплит", с реле управления и ограничения)</w:t>
            </w: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Класс точности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Активная энергия: 1 (ГОСТ 31819.21-2012), реактивная энергия: 1 (ГОСТ 31819.23-2012)</w:t>
            </w:r>
          </w:p>
        </w:tc>
        <w:tc>
          <w:tcPr>
            <w:tcW w:w="993" w:type="dxa"/>
            <w:vMerge w:val="restart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 w:val="restart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 w:val="restart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Номинальное напряжение переменного тока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230 В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Базовый (максимальный) ток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5 (100)A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Технология основного информационного обмена данными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Радиоканал, протокол NB-</w:t>
            </w:r>
            <w:proofErr w:type="spellStart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Fi</w:t>
            </w:r>
            <w:proofErr w:type="spellEnd"/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Частотный диапазон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868,8 МГц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Мощность передачи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до 25 мВт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Способы информационного обмена с верхним уровнем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 xml:space="preserve">Периодически (с настраиваемым периодом 1-60 минут), по запросу, спорадически (по факту наступления </w:t>
            </w: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lastRenderedPageBreak/>
              <w:t>запрограммированного события)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Дальность передачи данных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До 5 км. в городской среде, до 10 км. в открытом пространстве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Шифрование данных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+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Дополнительные интерфейсы связи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RS-485 (опционально)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shd w:val="clear" w:color="auto" w:fill="F9F9F9"/>
              <w:rPr>
                <w:rFonts w:ascii="Times New Roman" w:eastAsia="Times New Roman" w:hAnsi="Times New Roman" w:cs="Times New Roman"/>
                <w:color w:val="191E2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E22"/>
                <w:sz w:val="20"/>
                <w:szCs w:val="20"/>
                <w:lang w:eastAsia="ru-RU"/>
              </w:rPr>
              <w:t>Поддержка протоколов обмена</w:t>
            </w:r>
          </w:p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СПОДЭС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Встроенное реле управления нагрузкой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Да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Контроль параметров качества сети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Опционально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Контроль тока в нулевом проводе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Да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Габариты, не более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210 x 150 x 65 мм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Вес, не более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700 г.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shd w:val="clear" w:color="auto" w:fill="F9F9F9"/>
              <w:rPr>
                <w:rFonts w:ascii="Times New Roman" w:eastAsia="Times New Roman" w:hAnsi="Times New Roman" w:cs="Times New Roman"/>
                <w:color w:val="191E2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E22"/>
                <w:sz w:val="20"/>
                <w:szCs w:val="20"/>
                <w:lang w:eastAsia="ru-RU"/>
              </w:rPr>
              <w:t>Диапазон рабочих температур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от -40 до +70 °C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Аттестация оборудования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Аттестовано в ПАО "</w:t>
            </w:r>
            <w:proofErr w:type="spellStart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"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Интеграция с ИВК верхнего уровня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АльфаЦЕНТР</w:t>
            </w:r>
            <w:proofErr w:type="spellEnd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Энфорс</w:t>
            </w:r>
            <w:proofErr w:type="spellEnd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.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Гарантийный срок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60 мес.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proofErr w:type="spellStart"/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Межповерочный</w:t>
            </w:r>
            <w:proofErr w:type="spellEnd"/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 xml:space="preserve"> интервал, не менее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16 лет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 w:val="restart"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10" w:type="dxa"/>
            <w:vMerge w:val="restart"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Счетчик электрической энергии статический трехфазный ФОБОС 3 230В 5(100)А IQORLM(1)-D</w:t>
            </w: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Класс точности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Активная энергия: 1 (ГОСТ 31819.21-2012), реактивная энергия: 2 (ГОСТ 31819.23-2012)</w:t>
            </w:r>
          </w:p>
        </w:tc>
        <w:tc>
          <w:tcPr>
            <w:tcW w:w="993" w:type="dxa"/>
            <w:vMerge w:val="restart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 w:val="restart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 w:val="restart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Номинальное напряжение переменного тока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3×230/400 В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Базовый (максимальный) ток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5 (100) A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Технология основного информационного обмена данными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Радиоканал, протокол NB-</w:t>
            </w:r>
            <w:proofErr w:type="spellStart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Fi</w:t>
            </w:r>
            <w:proofErr w:type="spellEnd"/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Частотный диапазон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868,8 МГц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Мощность передачи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до 25 мВт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Способы информационного обмена с верхним уровнем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Периодически (с настраиваемым периодом 1-60 минут), по запросу, спорадически (по факту наступления запрограммированного события)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Дальность передачи данных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До 5 км. в городской среде, до 10 км. в открытом пространстве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Шифрование данных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Дополнительные интерфейсы связи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RS-485 (опционально)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Поддержка протоколов обмена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СПОДЭС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Встроенное реле управления нагрузкой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Да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Контроль параметров качества сети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Опционально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Контроль тока в нулевом проводе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Да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Габариты, не более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159 x 159 x 60 мм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Вес, не более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1500 г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Диапазон рабочих температур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от -40 до +70 °C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Аттестация оборудования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Аттестовано в ПАО "</w:t>
            </w:r>
            <w:proofErr w:type="spellStart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"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Интеграция с ИВК верхнего уровня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АльфаЦЕНТР</w:t>
            </w:r>
            <w:proofErr w:type="spellEnd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Энфорс</w:t>
            </w:r>
            <w:proofErr w:type="spellEnd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.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Гарантийный срок, не менее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60 мес.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Межповерочный</w:t>
            </w:r>
            <w:proofErr w:type="spellEnd"/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 xml:space="preserve"> интервал, не менее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16 лет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Срок службы, не менее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30 лет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 w:val="restart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410" w:type="dxa"/>
            <w:vMerge w:val="restart"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Счетчик электрической энергии статический трехфазный ФОБОС 3 230В 5(100)А IQOLS-C (наружной установки, "Сплит", с реле управления и ограничения)</w:t>
            </w: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Класс точности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Активная энергия: 1 (ГОСТ 31819.21-2012), реактивная энергия: 2 (ГОСТ 31819.23-2012)</w:t>
            </w:r>
          </w:p>
        </w:tc>
        <w:tc>
          <w:tcPr>
            <w:tcW w:w="993" w:type="dxa"/>
            <w:vMerge w:val="restart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 w:val="restart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 w:val="restart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Номинальное напряжение переменного тока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3×230/400 В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Базовый (максимальный) ток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5 (100) A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Технология основного информационного обмена данными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Радиоканал, протокол NB-</w:t>
            </w:r>
            <w:proofErr w:type="spellStart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Fi</w:t>
            </w:r>
            <w:proofErr w:type="spellEnd"/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Частотный диапазон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868,8 МГц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Мощность передачи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до 25 мВт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Способы информационного обмена с верхним уровнем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Периодически (с настраиваемым периодом 1-60 минут), по запросу, спорадически (по факту наступления запрограммированного события)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Дальность передачи данных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До 5 км. в городской среде, до 10 км. в открытом пространстве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Шифрование данных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Дополнительные интерфейсы связи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RS-485 (опционально)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Поддержка протоколов обмена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СПОДЭС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Встроенное реле управления нагрузкой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Да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Контроль параметров качества сети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Опционально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Контроль тока в нулевом проводе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Да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Габариты, не более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271 x 190 x 82 мм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Вес, не более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1500 г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Диапазон рабочих температур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от -40 до +70 °C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Аттестация оборудования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Аттестовано в ПАО "</w:t>
            </w:r>
            <w:proofErr w:type="spellStart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"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Интеграция с ИВК верхнего уровня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АльфаЦЕНТР</w:t>
            </w:r>
            <w:proofErr w:type="spellEnd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Энфорс</w:t>
            </w:r>
            <w:proofErr w:type="spellEnd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.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Гарантийный срок, не менее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60 мес.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Межповерочный</w:t>
            </w:r>
            <w:proofErr w:type="spellEnd"/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 xml:space="preserve"> интервал, не менее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16 лет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 w:val="restart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410" w:type="dxa"/>
            <w:vMerge w:val="restart"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Счетчик электрической энергии статический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трехфазный ФОБОС 3Т 230В 5(10)А IQORLM-А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 xml:space="preserve"> (трансформаторного включения)</w:t>
            </w: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br/>
            </w: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Класс точности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 xml:space="preserve">Активная энергия: 1 (ГОСТ 31819.21-2012), реактивная </w:t>
            </w: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lastRenderedPageBreak/>
              <w:t>энергия: 2 (ГОСТ 31819.23-2012)</w:t>
            </w:r>
          </w:p>
        </w:tc>
        <w:tc>
          <w:tcPr>
            <w:tcW w:w="993" w:type="dxa"/>
            <w:vMerge w:val="restart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 w:val="restart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 w:val="restart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Номинальное напряжение переменного тока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3×230/400 В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Базовый (максимальный) ток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5 (10) A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Технология основного информационного обмена данными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Радиоканал, протокол NB-</w:t>
            </w:r>
            <w:proofErr w:type="spellStart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Fi</w:t>
            </w:r>
            <w:proofErr w:type="spellEnd"/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Частотный диапазон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868,8 МГц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Мощность передачи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до 25 мВт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Способы информационного обмена с верхним уровнем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Периодически (с настраиваемым периодом 1-60 минут), по запросу, спорадически (по факту наступления запрограммированного события)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Дальность передачи данных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До 5 км. в городской среде, до 10 км. в открытом пространстве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Шифрование данных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Дополнительные интерфейсы связи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RS-485 (опционально)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Поддержка протоколов обмена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СПОДЭС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Встроенное реле управления нагрузкой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Да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Контроль параметров качества сети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Опционально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Контроль тока в нулевом проводе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Да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Габариты, не более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235 x 171 x 65 мм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Вес, не более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1500 г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Диапазон рабочих температур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от -40 до +70 °C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Аттестация оборудования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Аттестовано в ПАО "</w:t>
            </w:r>
            <w:proofErr w:type="spellStart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"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Интеграция с ИВК верхнего уровня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АльфаЦЕНТР</w:t>
            </w:r>
            <w:proofErr w:type="spellEnd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Энфорс</w:t>
            </w:r>
            <w:proofErr w:type="spellEnd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.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Гарантийный срок, не менее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60 мес.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Межповерочный</w:t>
            </w:r>
            <w:proofErr w:type="spellEnd"/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 xml:space="preserve"> интервал, не менее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16 лет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 w:val="restart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410" w:type="dxa"/>
            <w:vMerge w:val="restart"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Счетчик электрической энергии статический трехфазный ФОБОС 3Т 57,7В 5(10)А IQORLM-А (трансформаторного включения по току и напряжению)</w:t>
            </w: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Класс точности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Активная энергия: 1 (ГОСТ 31819.21-2012), реактивная энергия: 2 (ГОСТ 31819.23-2012)</w:t>
            </w:r>
          </w:p>
        </w:tc>
        <w:tc>
          <w:tcPr>
            <w:tcW w:w="993" w:type="dxa"/>
            <w:vMerge w:val="restart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 w:val="restart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 w:val="restart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Номинальное напряжение переменного тока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3×57,7/100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Базовый (максимальный) ток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5 (10) A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Технология основного информационного обмена данными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Радиоканал, протокол NB-</w:t>
            </w:r>
            <w:proofErr w:type="spellStart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Fi</w:t>
            </w:r>
            <w:proofErr w:type="spellEnd"/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Частотный диапазон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868,8 МГц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Мощность передачи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до 25 мВт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Способы информационного обмена с верхним уровнем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 xml:space="preserve">Периодически (с настраиваемым периодом 1-60 минут), по запросу, </w:t>
            </w: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lastRenderedPageBreak/>
              <w:t>спорадически (по факту наступления запрограммированного события)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Дальность передачи данных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До 5 км. в городской среде, до 10 км. в открытом пространстве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Шифрование данных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Дополнительные интерфейсы связи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RS-485 (опционально)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Поддержка протоколов обмена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СПОДЭС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Встроенное реле управления нагрузкой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Да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Контроль параметров качества сети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Опционально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Контроль тока в нулевом проводе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Да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Габариты, не более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235 x 171 x 65 мм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Вес, не более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1500 г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Диапазон рабочих температур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от -40 до +70 °C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Аттестация оборудования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Аттестовано в ПАО "</w:t>
            </w:r>
            <w:proofErr w:type="spellStart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"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Интеграция с ИВК верхнего уровня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АльфаЦЕНТР</w:t>
            </w:r>
            <w:proofErr w:type="spellEnd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Энфорс</w:t>
            </w:r>
            <w:proofErr w:type="spellEnd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.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Гарантийный срок, не менее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60 мес.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Межповерочный</w:t>
            </w:r>
            <w:proofErr w:type="spellEnd"/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 xml:space="preserve"> интервал, не менее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16 лет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 w:val="restart"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410" w:type="dxa"/>
            <w:vMerge w:val="restart"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Счетчик электрической энергии статический трехфазный ФОБОС 3 230В 5(100)А IQORLM(1)-D 4G(LTE) (с радиомодемом NB-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Fi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со сменным GSM\GPRS модулем)  </w:t>
            </w: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Класс точности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Активная энергия: 1 (ГОСТ 31819.21-2012), реактивная энергия: 2 (ГОСТ 31819.23-2012)</w:t>
            </w:r>
          </w:p>
        </w:tc>
        <w:tc>
          <w:tcPr>
            <w:tcW w:w="993" w:type="dxa"/>
            <w:vMerge w:val="restart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 w:val="restart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 w:val="restart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Номинальное напряжение переменного тока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3×230/400 В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Базовый (максимальный) ток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5 (100) A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Технология основного информационного обмена данными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Радиоканал, протокол NB-</w:t>
            </w:r>
            <w:proofErr w:type="spellStart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Fi</w:t>
            </w:r>
            <w:proofErr w:type="spellEnd"/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shd w:val="clear" w:color="FFFFFF" w:fill="FFFFFF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 xml:space="preserve">Наличие сменного модуля для </w:t>
            </w: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  <w:lang w:val="en-US"/>
              </w:rPr>
              <w:t>GSM</w:t>
            </w: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 xml:space="preserve"> связи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Да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shd w:val="clear" w:color="FFFFFF" w:fill="FFFFFF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 xml:space="preserve">Частотный диапазон для </w:t>
            </w: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  <w:lang w:val="en-US"/>
              </w:rPr>
              <w:t>NB</w:t>
            </w: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-</w:t>
            </w: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  <w:lang w:val="en-US"/>
              </w:rPr>
              <w:t>Fi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868,8 МГц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shd w:val="clear" w:color="FFFFFF" w:fill="FFFFFF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 xml:space="preserve">Мощность передачи для </w:t>
            </w: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  <w:lang w:val="en-US"/>
              </w:rPr>
              <w:t>NB</w:t>
            </w: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-</w:t>
            </w: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  <w:lang w:val="en-US"/>
              </w:rPr>
              <w:t>Fi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до 25 мВт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Способы информационного обмена с верхним уровнем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Периодически (с настраиваемым периодом 1-60 минут), по запросу, спорадически (по факту наступления запрограммированного события)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Шифрование данных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Дополнительные интерфейсы связи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RS-485 (опционально)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Поддержка протоколов обмена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СПОДЭС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Встроенное реле управления нагрузкой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Да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Контроль параметров качества сети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Опционально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Контроль тока в нулевом проводе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Да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Габариты, не более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183 x 159 x 60 мм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Вес, не более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1</w:t>
            </w: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  <w:lang w:val="en-US"/>
              </w:rPr>
              <w:t>7</w:t>
            </w: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00 г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Диапазон рабочих температур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от -40 до +70 °C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Аттестация оборудования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Аттестовано в ПАО "</w:t>
            </w:r>
            <w:proofErr w:type="spellStart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"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Интеграция с ИВК верхнего уровня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АльфаЦЕНТР</w:t>
            </w:r>
            <w:proofErr w:type="spellEnd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Энфорс</w:t>
            </w:r>
            <w:proofErr w:type="spellEnd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.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Гарантийный срок, не менее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60 мес.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Межповерочный</w:t>
            </w:r>
            <w:proofErr w:type="spellEnd"/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 xml:space="preserve"> интервал, не менее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16 лет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Срок службы, не менее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30 лет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 w:val="restart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410" w:type="dxa"/>
            <w:vMerge w:val="restart"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Счетчик электрической энергии статический трехфазный ФОБОС 3Т 230В 5(10)А IQORLM-А 4G(LTE) SMA трансформаторного включения (с радиомодемом NB-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Fi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со сменным GSM\GPRS модулем)  </w:t>
            </w: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Класс точности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Активная энергия: 1 (ГОСТ 31819.21-2012), реактивная энергия: 2 (ГОСТ 31819.23-2012)</w:t>
            </w:r>
          </w:p>
        </w:tc>
        <w:tc>
          <w:tcPr>
            <w:tcW w:w="993" w:type="dxa"/>
            <w:vMerge w:val="restart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 w:val="restart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 w:val="restart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Номинальное напряжение переменного тока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3×230/400 В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Базовый (максимальный) ток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5 (10) A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Технология основного информационного обмена данными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Радиоканал, протокол NB-</w:t>
            </w:r>
            <w:proofErr w:type="spellStart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Fi</w:t>
            </w:r>
            <w:proofErr w:type="spellEnd"/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 xml:space="preserve">Наличие сменного модуля для </w:t>
            </w: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  <w:lang w:val="en-US"/>
              </w:rPr>
              <w:t>GSM</w:t>
            </w: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 xml:space="preserve"> связи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Да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 xml:space="preserve">Частотный диапазон для </w:t>
            </w: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  <w:lang w:val="en-US"/>
              </w:rPr>
              <w:t>NB</w:t>
            </w: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-</w:t>
            </w: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  <w:lang w:val="en-US"/>
              </w:rPr>
              <w:t>Fi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868,8 МГц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 xml:space="preserve">Мощность передачи для </w:t>
            </w: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  <w:lang w:val="en-US"/>
              </w:rPr>
              <w:t>NB</w:t>
            </w: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-</w:t>
            </w: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  <w:lang w:val="en-US"/>
              </w:rPr>
              <w:t>Fi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до 25 мВт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Способы информационного обмена с верхним уровнем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Периодически (с настраиваемым периодом 1-60 минут), по запросу, спорадически (по факту наступления запрограммированного события)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Шифрование данных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Дополнительные интерфейсы связи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RS-485 (опционально)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Поддержка протоколов обмена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СПОДЭС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Встроенное реле управления нагрузкой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Да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Контроль параметров качества сети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Опционально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Контроль тока в нулевом проводе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Да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Габариты, не более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  <w:lang w:val="en-US"/>
              </w:rPr>
              <w:t>300</w:t>
            </w: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 xml:space="preserve"> x 171 x 65 мм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Вес, не более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1</w:t>
            </w: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  <w:lang w:val="en-US"/>
              </w:rPr>
              <w:t>7</w:t>
            </w: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00 г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Диапазон рабочих температур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от -40 до +70 °C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Аттестация оборудования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Аттестовано в ПАО "</w:t>
            </w:r>
            <w:proofErr w:type="spellStart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"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Интеграция с ИВК верхнего уровня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АльфаЦЕНТР</w:t>
            </w:r>
            <w:proofErr w:type="spellEnd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Энфорс</w:t>
            </w:r>
            <w:proofErr w:type="spellEnd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.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Гарантийный срок, не менее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60 мес.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Межповерочный</w:t>
            </w:r>
            <w:proofErr w:type="spellEnd"/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 xml:space="preserve"> интервал, не менее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16 лет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 w:val="restart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410" w:type="dxa"/>
            <w:vMerge w:val="restart"/>
            <w:shd w:val="clear" w:color="FFFFFF" w:fill="FFFFFF"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Счетчик электрической энергии статический трехфазный ФОБОС 3Т 57,7В 5(10)А IQORLM-А 4G(LTE) SMA (с радиомодемом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NB-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Fi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и со сменным GSM\GPRS модулем)</w:t>
            </w: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br/>
            </w: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Класс точности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Активная энергия: 1 (ГОСТ 31819.21-2012), реактивная энергия: 2 (ГОСТ 31819.23-2012)</w:t>
            </w:r>
          </w:p>
        </w:tc>
        <w:tc>
          <w:tcPr>
            <w:tcW w:w="993" w:type="dxa"/>
            <w:vMerge w:val="restart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FFFFFF" w:fill="FFFFFF"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Номинальное напряжение переменного тока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3×57,7/100</w:t>
            </w:r>
          </w:p>
        </w:tc>
        <w:tc>
          <w:tcPr>
            <w:tcW w:w="993" w:type="dxa"/>
            <w:vMerge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FFFFFF" w:fill="FFFFFF"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Базовый (максимальный) ток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5 (10) A</w:t>
            </w:r>
          </w:p>
        </w:tc>
        <w:tc>
          <w:tcPr>
            <w:tcW w:w="993" w:type="dxa"/>
            <w:vMerge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FFFFFF" w:fill="FFFFFF"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Технология основного информационного обмена данными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Радиоканал, протокол NB-</w:t>
            </w:r>
            <w:proofErr w:type="spellStart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Fi</w:t>
            </w:r>
            <w:proofErr w:type="spellEnd"/>
          </w:p>
        </w:tc>
        <w:tc>
          <w:tcPr>
            <w:tcW w:w="993" w:type="dxa"/>
            <w:vMerge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FFFFFF" w:fill="FFFFFF"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 xml:space="preserve">Наличие сменного модуля для </w:t>
            </w: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  <w:lang w:val="en-US"/>
              </w:rPr>
              <w:t>GSM</w:t>
            </w: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 xml:space="preserve"> связи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Да</w:t>
            </w:r>
          </w:p>
        </w:tc>
        <w:tc>
          <w:tcPr>
            <w:tcW w:w="993" w:type="dxa"/>
            <w:vMerge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FFFFFF" w:fill="FFFFFF"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 xml:space="preserve">Частотный диапазон для </w:t>
            </w: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  <w:lang w:val="en-US"/>
              </w:rPr>
              <w:t>NB</w:t>
            </w: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-</w:t>
            </w: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  <w:lang w:val="en-US"/>
              </w:rPr>
              <w:t>Fi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868,8 МГц</w:t>
            </w:r>
          </w:p>
        </w:tc>
        <w:tc>
          <w:tcPr>
            <w:tcW w:w="993" w:type="dxa"/>
            <w:vMerge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FFFFFF" w:fill="FFFFFF"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 xml:space="preserve">Мощность передачи для </w:t>
            </w: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  <w:lang w:val="en-US"/>
              </w:rPr>
              <w:t>NB</w:t>
            </w: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-</w:t>
            </w: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  <w:lang w:val="en-US"/>
              </w:rPr>
              <w:t>Fi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до 25 мВт</w:t>
            </w:r>
          </w:p>
        </w:tc>
        <w:tc>
          <w:tcPr>
            <w:tcW w:w="993" w:type="dxa"/>
            <w:vMerge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FFFFFF" w:fill="FFFFFF"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Способы информационного обмена с верхним уровнем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Периодически (с настраиваемым периодом 1-60 минут), по запросу, спорадически (по факту наступления запрограммированного события)</w:t>
            </w:r>
          </w:p>
        </w:tc>
        <w:tc>
          <w:tcPr>
            <w:tcW w:w="993" w:type="dxa"/>
            <w:vMerge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FFFFFF" w:fill="FFFFFF"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Шифрование данных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3" w:type="dxa"/>
            <w:vMerge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FFFFFF" w:fill="FFFFFF"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Дополнительные интерфейсы связи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RS-485 (опционально)</w:t>
            </w:r>
          </w:p>
        </w:tc>
        <w:tc>
          <w:tcPr>
            <w:tcW w:w="993" w:type="dxa"/>
            <w:vMerge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FFFFFF" w:fill="FFFFFF"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Поддержка протоколов обмена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СПОДЭС</w:t>
            </w:r>
          </w:p>
        </w:tc>
        <w:tc>
          <w:tcPr>
            <w:tcW w:w="993" w:type="dxa"/>
            <w:vMerge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FFFFFF" w:fill="FFFFFF"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Встроенное реле управления нагрузкой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Да</w:t>
            </w:r>
          </w:p>
        </w:tc>
        <w:tc>
          <w:tcPr>
            <w:tcW w:w="993" w:type="dxa"/>
            <w:vMerge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FFFFFF" w:fill="FFFFFF"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Контроль параметров качества сети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Опционально</w:t>
            </w:r>
          </w:p>
        </w:tc>
        <w:tc>
          <w:tcPr>
            <w:tcW w:w="993" w:type="dxa"/>
            <w:vMerge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FFFFFF" w:fill="FFFFFF"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Контроль тока в нулевом проводе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Да</w:t>
            </w:r>
          </w:p>
        </w:tc>
        <w:tc>
          <w:tcPr>
            <w:tcW w:w="993" w:type="dxa"/>
            <w:vMerge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FFFFFF" w:fill="FFFFFF"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Габариты, не более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  <w:lang w:val="en-US"/>
              </w:rPr>
              <w:t>300</w:t>
            </w: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 xml:space="preserve"> x 171 x 65 мм</w:t>
            </w:r>
          </w:p>
        </w:tc>
        <w:tc>
          <w:tcPr>
            <w:tcW w:w="993" w:type="dxa"/>
            <w:vMerge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FFFFFF" w:fill="FFFFFF"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Вес, не более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1</w:t>
            </w: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  <w:lang w:val="en-US"/>
              </w:rPr>
              <w:t>7</w:t>
            </w: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00 г</w:t>
            </w:r>
          </w:p>
        </w:tc>
        <w:tc>
          <w:tcPr>
            <w:tcW w:w="993" w:type="dxa"/>
            <w:vMerge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FFFFFF" w:fill="FFFFFF"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Диапазон рабочих температур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от -40 до +70 °C</w:t>
            </w:r>
          </w:p>
        </w:tc>
        <w:tc>
          <w:tcPr>
            <w:tcW w:w="993" w:type="dxa"/>
            <w:vMerge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FFFFFF" w:fill="FFFFFF"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Аттестация оборудования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Аттестовано в ПАО "</w:t>
            </w:r>
            <w:proofErr w:type="spellStart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"</w:t>
            </w:r>
          </w:p>
        </w:tc>
        <w:tc>
          <w:tcPr>
            <w:tcW w:w="993" w:type="dxa"/>
            <w:vMerge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FFFFFF" w:fill="FFFFFF"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Интеграция с ИВК верхнего уровня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АльфаЦЕНТР</w:t>
            </w:r>
            <w:proofErr w:type="spellEnd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Энфорс</w:t>
            </w:r>
            <w:proofErr w:type="spellEnd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.</w:t>
            </w:r>
          </w:p>
        </w:tc>
        <w:tc>
          <w:tcPr>
            <w:tcW w:w="993" w:type="dxa"/>
            <w:vMerge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FFFFFF" w:fill="FFFFFF"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Гарантийный срок, не менее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60 мес.</w:t>
            </w:r>
          </w:p>
        </w:tc>
        <w:tc>
          <w:tcPr>
            <w:tcW w:w="993" w:type="dxa"/>
            <w:vMerge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FFFFFF" w:fill="FFFFFF"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Межповерочный</w:t>
            </w:r>
            <w:proofErr w:type="spellEnd"/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 xml:space="preserve"> интервал, не менее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16 лет</w:t>
            </w:r>
          </w:p>
        </w:tc>
        <w:tc>
          <w:tcPr>
            <w:tcW w:w="993" w:type="dxa"/>
            <w:vMerge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3369" w:rsidTr="00273369">
        <w:tc>
          <w:tcPr>
            <w:tcW w:w="567" w:type="dxa"/>
            <w:vMerge w:val="restart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410" w:type="dxa"/>
            <w:vMerge w:val="restart"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Счетчик электрической энергии статический однофазный ФОБОС 1 230В 5(100)А IQOLSM(1)-C 4G(LTE) (наружной установки, «Сплит», с реле управления и ограничения, GSM)</w:t>
            </w: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Класс точности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Активная энергия: 1 (ГОСТ 31819.21-2012), реактивная энергия: 1 (ГОСТ 31819.23-2012)</w:t>
            </w:r>
          </w:p>
        </w:tc>
        <w:tc>
          <w:tcPr>
            <w:tcW w:w="993" w:type="dxa"/>
            <w:vMerge w:val="restart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 w:val="restart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 w:val="restart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Номинальное напряжение переменного тока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230 В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Базовый (максимальный) ток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5 (100)A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Технология основного информационного обмена данными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Радиоканал, протокол NB-</w:t>
            </w:r>
            <w:proofErr w:type="spellStart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Fi</w:t>
            </w:r>
            <w:proofErr w:type="spellEnd"/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 xml:space="preserve">Наличие встроенного модуля для </w:t>
            </w: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  <w:lang w:val="en-US"/>
              </w:rPr>
              <w:t>GSM</w:t>
            </w: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 xml:space="preserve"> связи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Да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Частотный диапазон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868,8 МГц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Мощность передачи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до 25 мВт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Способы информационного обмена с верхним уровнем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Периодически (с настраиваемым периодом 1-60 минут), по запросу, спорадически (по факту наступления запрограммированного события)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Дальность передачи данных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До 5 км. в городской среде, до 10 км. в открытом пространстве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Шифрование данных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+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Дополнительные интерфейсы связи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RS-485 (опционально)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shd w:val="clear" w:color="auto" w:fill="F9F9F9"/>
              <w:rPr>
                <w:rFonts w:ascii="Times New Roman" w:eastAsia="Times New Roman" w:hAnsi="Times New Roman" w:cs="Times New Roman"/>
                <w:color w:val="191E2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E22"/>
                <w:sz w:val="20"/>
                <w:szCs w:val="20"/>
                <w:lang w:eastAsia="ru-RU"/>
              </w:rPr>
              <w:t>Поддержка протоколов обмена</w:t>
            </w:r>
          </w:p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СПОДЭС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Встроенное реле управления нагрузкой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Да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Контроль параметров качества сети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Опционально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Контроль тока в нулевом проводе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Да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Габариты, не более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210 x 150 x 65 мм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Вес, не более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700 г.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shd w:val="clear" w:color="auto" w:fill="F9F9F9"/>
              <w:rPr>
                <w:rFonts w:ascii="Times New Roman" w:eastAsia="Times New Roman" w:hAnsi="Times New Roman" w:cs="Times New Roman"/>
                <w:color w:val="191E2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91E22"/>
                <w:sz w:val="20"/>
                <w:szCs w:val="20"/>
                <w:lang w:eastAsia="ru-RU"/>
              </w:rPr>
              <w:t>Диапазон рабочих температур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от -40 до +70 °C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Аттестация оборудования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Аттестовано в ПАО "</w:t>
            </w:r>
            <w:proofErr w:type="spellStart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"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Интеграция с ИВК верхнего уровня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АльфаЦЕНТР</w:t>
            </w:r>
            <w:proofErr w:type="spellEnd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Энфорс</w:t>
            </w:r>
            <w:proofErr w:type="spellEnd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.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Гарантийный срок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60 мес.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proofErr w:type="spellStart"/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Межповерочный</w:t>
            </w:r>
            <w:proofErr w:type="spellEnd"/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 xml:space="preserve"> интервал, не менее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16 лет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 w:val="restart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410" w:type="dxa"/>
            <w:vMerge w:val="restart"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Счетчик электрической энергии статический трехфазный ФОБОС 3 230В 5(100)А IQOG(4)LS-C  (наружной установки, "Сплит", с реле управления и ограничения, GSM)</w:t>
            </w: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Класс точности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Активная энергия: 1 (ГОСТ 31819.21-2012), реактивная энергия: 2 (ГОСТ 31819.23-2012)</w:t>
            </w:r>
          </w:p>
        </w:tc>
        <w:tc>
          <w:tcPr>
            <w:tcW w:w="993" w:type="dxa"/>
            <w:vMerge w:val="restart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 w:val="restart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 w:val="restart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Номинальное напряжение переменного тока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3×230/400 В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Базовый (максимальный) ток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5 (100) A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Технология основного информационного обмена данными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Радиоканал, протокол NB-</w:t>
            </w:r>
            <w:proofErr w:type="spellStart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Fi</w:t>
            </w:r>
            <w:proofErr w:type="spellEnd"/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Наличие встроенного модуля для GSM связи</w:t>
            </w: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ab/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Да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Частотный диапазон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868,8 МГц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Мощность передачи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до 25 мВт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Способы информационного обмена с верхним уровнем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Периодически (с настраиваемым периодом 1-60 минут), по запросу, спорадически (по факту наступления запрограммированного события)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Дальность передачи данных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До 5 км. в городской среде, до 10 км. в открытом пространстве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both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Шифрование данных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Дополнительные интерфейсы связи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RS-485 (опционально)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Поддержка протоколов обмена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СПОДЭС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Встроенное реле управления нагрузкой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Да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Контроль параметров качества сети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Опционально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Контроль тока в нулевом проводе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Да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Габариты, не более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271 x 190 x 82 мм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Вес, не более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1500 г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Диапазон рабочих температур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от -40 до +70 °C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Аттестация оборудования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Аттестовано в ПАО "</w:t>
            </w:r>
            <w:proofErr w:type="spellStart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"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Интеграция с ИВК верхнего уровня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АльфаЦЕНТР</w:t>
            </w:r>
            <w:proofErr w:type="spellEnd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Энфорс</w:t>
            </w:r>
            <w:proofErr w:type="spellEnd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.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Гарантийный срок, не менее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60 мес.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Межповерочный</w:t>
            </w:r>
            <w:proofErr w:type="spellEnd"/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 xml:space="preserve"> интервал, не менее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16 лет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 w:val="restart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410" w:type="dxa"/>
            <w:vMerge w:val="restart"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Базовая станция NB-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Fi</w:t>
            </w: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Полоса рабочих частот приема/передачи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868,7 – 869,2 МГц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Максимально достигаемая чувствительность приемника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 xml:space="preserve">-148 </w:t>
            </w:r>
            <w:proofErr w:type="spellStart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dBm</w:t>
            </w:r>
            <w:proofErr w:type="spellEnd"/>
          </w:p>
        </w:tc>
        <w:tc>
          <w:tcPr>
            <w:tcW w:w="993" w:type="dxa"/>
            <w:vMerge w:val="restart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 w:val="restart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 w:val="restart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Протокол передачи данных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NB-</w:t>
            </w:r>
            <w:proofErr w:type="spellStart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Fi</w:t>
            </w:r>
            <w:proofErr w:type="spellEnd"/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Ширина канала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50 Гц – 25 600 Гц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Шифрование данных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+ («Магма», ГОСТ Р 34. 12-2015)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Соответствие решению ГКРЧ №07-20-03-001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да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Габариты блока приемо-передающего устройства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250 x 140 x 75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Масса блока приемо-передающего устройства, не более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1,5 кг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Степень защиты IP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соответствует IP66 по ГОСТ 14254-96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Температурный режим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от -50° до +70°С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Радиус покрытия сети NB-</w:t>
            </w:r>
            <w:proofErr w:type="spellStart"/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Fi</w:t>
            </w:r>
            <w:proofErr w:type="spellEnd"/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До 5 км в городской среде, свыше 10 км на открытом пространстве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Гарантийный срок эксплуатации, не менее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24 месяца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 w:val="restart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410" w:type="dxa"/>
            <w:vMerge w:val="restart"/>
          </w:tcPr>
          <w:p w:rsidR="00273369" w:rsidRDefault="002733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УСПД ВАВИОТ UPS GSM (для работы с ПО верхнего уровня)</w:t>
            </w: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Степень защиты IP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IP66 (по ГОСТ 14254-2015)</w:t>
            </w:r>
          </w:p>
        </w:tc>
        <w:tc>
          <w:tcPr>
            <w:tcW w:w="993" w:type="dxa"/>
            <w:vMerge w:val="restart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 w:val="restart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 w:val="restart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Номинальное напряжение тока (основного/резервного) источника питания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230 / 12 В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Габариты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600 х 400 х 200 мм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Вес, не более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10 кг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Температурный режим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от -50° до +70 (50)°С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Относительная влажность (без конденсации влаги), не более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98%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Периодичность отправки данных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От пяти минут (по умолчанию)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Частотный диапазон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868,8 МГц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Мощность передачи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25 мВт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Протокол передачи данных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NB-</w:t>
            </w:r>
            <w:proofErr w:type="spellStart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Fi</w:t>
            </w:r>
            <w:proofErr w:type="spellEnd"/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Шифрование данных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+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Дополнительные интерфейсы связи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Ethernet</w:t>
            </w:r>
            <w:proofErr w:type="spellEnd"/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 xml:space="preserve"> 1×10/100 (RJ45), GSM/GPRS, RS-485 </w:t>
            </w: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lastRenderedPageBreak/>
              <w:t>(цифровой), SAT (спутниковый) - опционально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Дальность передачи данных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До 5 км в городской среде, до 10 км. в открытом пространстве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Гарантийный срок, не менее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60 месяцев со дня ввода в эксплуатацию, но не более 66 месяцев со дня изготовления</w:t>
            </w:r>
          </w:p>
        </w:tc>
        <w:tc>
          <w:tcPr>
            <w:tcW w:w="993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Интервал поверки, не менее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ind w:firstLine="708"/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10 лет</w:t>
            </w:r>
          </w:p>
        </w:tc>
        <w:tc>
          <w:tcPr>
            <w:tcW w:w="993" w:type="dxa"/>
            <w:vMerge/>
          </w:tcPr>
          <w:p w:rsidR="00273369" w:rsidRDefault="00273369">
            <w:pPr>
              <w:ind w:firstLine="708"/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ind w:firstLine="708"/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ind w:firstLine="708"/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ind w:firstLine="708"/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 w:val="restart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410" w:type="dxa"/>
            <w:vMerge w:val="restart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Корпус блока измерения и защиты однофазного счетчика</w:t>
            </w: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Arial" w:hAnsi="Arial" w:cs="Arial"/>
                <w:color w:val="191E22"/>
                <w:sz w:val="21"/>
                <w:szCs w:val="21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Габариты, не более, мм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244 × 236 × 128</w:t>
            </w:r>
          </w:p>
        </w:tc>
        <w:tc>
          <w:tcPr>
            <w:tcW w:w="993" w:type="dxa"/>
            <w:vMerge w:val="restart"/>
          </w:tcPr>
          <w:p w:rsidR="00273369" w:rsidRDefault="00273369">
            <w:pPr>
              <w:rPr>
                <w:rFonts w:ascii="Arial" w:hAnsi="Arial" w:cs="Arial"/>
                <w:b/>
                <w:bCs/>
                <w:color w:val="191E22"/>
                <w:sz w:val="21"/>
                <w:szCs w:val="21"/>
                <w:shd w:val="clear" w:color="auto" w:fill="F9F9F9"/>
              </w:rPr>
            </w:pPr>
          </w:p>
        </w:tc>
        <w:tc>
          <w:tcPr>
            <w:tcW w:w="850" w:type="dxa"/>
            <w:vMerge w:val="restart"/>
          </w:tcPr>
          <w:p w:rsidR="00273369" w:rsidRDefault="00273369">
            <w:pPr>
              <w:rPr>
                <w:rFonts w:ascii="Arial" w:hAnsi="Arial" w:cs="Arial"/>
                <w:b/>
                <w:bCs/>
                <w:color w:val="191E22"/>
                <w:sz w:val="21"/>
                <w:szCs w:val="21"/>
                <w:shd w:val="clear" w:color="auto" w:fill="F9F9F9"/>
              </w:rPr>
            </w:pPr>
          </w:p>
        </w:tc>
        <w:tc>
          <w:tcPr>
            <w:tcW w:w="1559" w:type="dxa"/>
            <w:vMerge w:val="restart"/>
          </w:tcPr>
          <w:p w:rsidR="00273369" w:rsidRDefault="00273369">
            <w:pPr>
              <w:rPr>
                <w:rFonts w:ascii="Arial" w:hAnsi="Arial" w:cs="Arial"/>
                <w:b/>
                <w:bCs/>
                <w:color w:val="191E22"/>
                <w:sz w:val="21"/>
                <w:szCs w:val="21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Arial" w:hAnsi="Arial" w:cs="Arial"/>
                <w:b/>
                <w:bCs/>
                <w:color w:val="191E22"/>
                <w:sz w:val="21"/>
                <w:szCs w:val="21"/>
                <w:shd w:val="clear" w:color="auto" w:fill="F9F9F9"/>
              </w:rPr>
            </w:pPr>
          </w:p>
        </w:tc>
      </w:tr>
      <w:tr w:rsidR="00273369" w:rsidTr="00273369">
        <w:trPr>
          <w:trHeight w:val="389"/>
        </w:trPr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Степень защиты IP, не менее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54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Arial" w:hAnsi="Arial" w:cs="Arial"/>
                <w:b/>
                <w:bCs/>
                <w:color w:val="191E22"/>
                <w:sz w:val="21"/>
                <w:szCs w:val="21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Arial" w:hAnsi="Arial" w:cs="Arial"/>
                <w:b/>
                <w:bCs/>
                <w:color w:val="191E22"/>
                <w:sz w:val="21"/>
                <w:szCs w:val="21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Arial" w:hAnsi="Arial" w:cs="Arial"/>
                <w:b/>
                <w:bCs/>
                <w:color w:val="191E22"/>
                <w:sz w:val="21"/>
                <w:szCs w:val="21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Arial" w:hAnsi="Arial" w:cs="Arial"/>
                <w:b/>
                <w:bCs/>
                <w:color w:val="191E22"/>
                <w:sz w:val="21"/>
                <w:szCs w:val="21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 xml:space="preserve">Температура окружающего воздуха   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от - 40 до + 70 °С.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Arial" w:hAnsi="Arial" w:cs="Arial"/>
                <w:b/>
                <w:bCs/>
                <w:color w:val="191E22"/>
                <w:sz w:val="21"/>
                <w:szCs w:val="21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Arial" w:hAnsi="Arial" w:cs="Arial"/>
                <w:b/>
                <w:bCs/>
                <w:color w:val="191E22"/>
                <w:sz w:val="21"/>
                <w:szCs w:val="21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Arial" w:hAnsi="Arial" w:cs="Arial"/>
                <w:b/>
                <w:bCs/>
                <w:color w:val="191E22"/>
                <w:sz w:val="21"/>
                <w:szCs w:val="21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Arial" w:hAnsi="Arial" w:cs="Arial"/>
                <w:b/>
                <w:bCs/>
                <w:color w:val="191E22"/>
                <w:sz w:val="21"/>
                <w:szCs w:val="21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Наличие кронштейна для крепления на опору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Да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Arial" w:hAnsi="Arial" w:cs="Arial"/>
                <w:b/>
                <w:bCs/>
                <w:color w:val="191E22"/>
                <w:sz w:val="21"/>
                <w:szCs w:val="21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Arial" w:hAnsi="Arial" w:cs="Arial"/>
                <w:b/>
                <w:bCs/>
                <w:color w:val="191E22"/>
                <w:sz w:val="21"/>
                <w:szCs w:val="21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Arial" w:hAnsi="Arial" w:cs="Arial"/>
                <w:b/>
                <w:bCs/>
                <w:color w:val="191E22"/>
                <w:sz w:val="21"/>
                <w:szCs w:val="21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Arial" w:hAnsi="Arial" w:cs="Arial"/>
                <w:b/>
                <w:bCs/>
                <w:color w:val="191E22"/>
                <w:sz w:val="21"/>
                <w:szCs w:val="21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Масса (не более), кг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1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Arial" w:hAnsi="Arial" w:cs="Arial"/>
                <w:b/>
                <w:bCs/>
                <w:color w:val="191E22"/>
                <w:sz w:val="21"/>
                <w:szCs w:val="21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Arial" w:hAnsi="Arial" w:cs="Arial"/>
                <w:b/>
                <w:bCs/>
                <w:color w:val="191E22"/>
                <w:sz w:val="21"/>
                <w:szCs w:val="21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Arial" w:hAnsi="Arial" w:cs="Arial"/>
                <w:b/>
                <w:bCs/>
                <w:color w:val="191E22"/>
                <w:sz w:val="21"/>
                <w:szCs w:val="21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Arial" w:hAnsi="Arial" w:cs="Arial"/>
                <w:b/>
                <w:bCs/>
                <w:color w:val="191E22"/>
                <w:sz w:val="21"/>
                <w:szCs w:val="21"/>
                <w:shd w:val="clear" w:color="auto" w:fill="F9F9F9"/>
              </w:rPr>
            </w:pPr>
          </w:p>
        </w:tc>
      </w:tr>
      <w:tr w:rsidR="00273369" w:rsidTr="00273369">
        <w:trPr>
          <w:trHeight w:val="317"/>
        </w:trPr>
        <w:tc>
          <w:tcPr>
            <w:tcW w:w="567" w:type="dxa"/>
            <w:vMerge w:val="restart"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410" w:type="dxa"/>
            <w:vMerge w:val="restart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Корпус блока измерения и защиты трехфазного счетчика</w:t>
            </w: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Габариты, не более, мм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385 ×367×163</w:t>
            </w:r>
          </w:p>
        </w:tc>
        <w:tc>
          <w:tcPr>
            <w:tcW w:w="993" w:type="dxa"/>
            <w:vMerge w:val="restart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 w:val="restart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 w:val="restart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rPr>
          <w:trHeight w:val="293"/>
        </w:trPr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Степень защиты IP, не менее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54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Наличие кронштейна для крепления на опору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bCs/>
                <w:color w:val="191E22"/>
                <w:sz w:val="20"/>
                <w:szCs w:val="20"/>
                <w:shd w:val="clear" w:color="auto" w:fill="F9F9F9"/>
              </w:rPr>
              <w:t>Да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Масса (не более), кг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3,5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  <w:tr w:rsidR="00273369" w:rsidTr="00273369">
        <w:tc>
          <w:tcPr>
            <w:tcW w:w="567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 xml:space="preserve">Температура окружающего воздуха   </w:t>
            </w:r>
          </w:p>
        </w:tc>
        <w:tc>
          <w:tcPr>
            <w:tcW w:w="2835" w:type="dxa"/>
            <w:vAlign w:val="center"/>
          </w:tcPr>
          <w:p w:rsidR="00273369" w:rsidRDefault="00273369">
            <w:pPr>
              <w:jc w:val="center"/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  <w:t>от  минус 40°С до + 70°С</w:t>
            </w:r>
          </w:p>
        </w:tc>
        <w:tc>
          <w:tcPr>
            <w:tcW w:w="993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850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1559" w:type="dxa"/>
            <w:vMerge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</w:p>
        </w:tc>
        <w:tc>
          <w:tcPr>
            <w:tcW w:w="2410" w:type="dxa"/>
          </w:tcPr>
          <w:p w:rsidR="00273369" w:rsidRDefault="00273369">
            <w:pPr>
              <w:rPr>
                <w:rFonts w:ascii="Times New Roman" w:hAnsi="Times New Roman" w:cs="Times New Roman"/>
                <w:color w:val="191E22"/>
                <w:sz w:val="20"/>
                <w:szCs w:val="20"/>
                <w:shd w:val="clear" w:color="auto" w:fill="F9F9F9"/>
              </w:rPr>
            </w:pPr>
          </w:p>
        </w:tc>
      </w:tr>
    </w:tbl>
    <w:p w:rsidR="008D4198" w:rsidRDefault="008D41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4198" w:rsidRDefault="00CF233A" w:rsidP="00470EA6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системе учета электрической энергии</w:t>
      </w:r>
    </w:p>
    <w:p w:rsidR="008D4198" w:rsidRDefault="00CF233A" w:rsidP="00470EA6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Toc3205054"/>
      <w:bookmarkStart w:id="2" w:name="_Toc4574513"/>
      <w:bookmarkStart w:id="3" w:name="_Toc4574652"/>
      <w:r>
        <w:rPr>
          <w:rFonts w:ascii="Times New Roman" w:hAnsi="Times New Roman" w:cs="Times New Roman"/>
          <w:b/>
          <w:sz w:val="24"/>
          <w:szCs w:val="24"/>
        </w:rPr>
        <w:t>1.1. Общие требования к системе учета электрической энергии</w:t>
      </w:r>
      <w:bookmarkEnd w:id="1"/>
      <w:bookmarkEnd w:id="2"/>
      <w:bookmarkEnd w:id="3"/>
    </w:p>
    <w:p w:rsidR="008D4198" w:rsidRDefault="00CF233A" w:rsidP="00470EA6">
      <w:pPr>
        <w:pStyle w:val="1"/>
        <w:numPr>
          <w:ilvl w:val="0"/>
          <w:numId w:val="0"/>
        </w:numPr>
        <w:spacing w:before="0" w:after="0"/>
        <w:ind w:left="284" w:firstLine="425"/>
      </w:pPr>
      <w:r>
        <w:t>Технические средства создаваемой системы учета электроэнергии должны быть изготовлены производителем в виде законченных укомплектованных изделий, для установки которых на месте эксплуатации достаточно указаний, приведенных в эксплуатационной документации, в которой нормированы метрологические характеристики измерительных каналов системы.</w:t>
      </w:r>
    </w:p>
    <w:p w:rsidR="008D4198" w:rsidRDefault="00CF233A" w:rsidP="00470EA6">
      <w:pPr>
        <w:pStyle w:val="1"/>
        <w:numPr>
          <w:ilvl w:val="0"/>
          <w:numId w:val="0"/>
        </w:numPr>
        <w:spacing w:before="0" w:after="0"/>
        <w:ind w:left="284" w:firstLine="425"/>
      </w:pPr>
      <w:r>
        <w:t>Система учета должна обеспечить:</w:t>
      </w:r>
    </w:p>
    <w:p w:rsidR="008D4198" w:rsidRDefault="00CF233A" w:rsidP="00470EA6">
      <w:pPr>
        <w:pStyle w:val="1"/>
        <w:numPr>
          <w:ilvl w:val="0"/>
          <w:numId w:val="0"/>
        </w:numPr>
        <w:spacing w:before="0" w:after="0"/>
        <w:ind w:left="284" w:firstLine="425"/>
      </w:pPr>
      <w:r>
        <w:t>- учет активной/реактивной электрической энергии;</w:t>
      </w:r>
    </w:p>
    <w:p w:rsidR="008D4198" w:rsidRDefault="00CF233A" w:rsidP="00470EA6">
      <w:pPr>
        <w:pStyle w:val="af9"/>
        <w:numPr>
          <w:ilvl w:val="0"/>
          <w:numId w:val="6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возможность регистрации показателей качества электрической энергии (далее - ПКЭ) на ПУ (далее - ПУ) трансформаторного включения, устанавливаемых в трансформаторных подстанциях (далее – ТП);</w:t>
      </w:r>
    </w:p>
    <w:p w:rsidR="008D4198" w:rsidRDefault="00CF233A" w:rsidP="00470EA6">
      <w:pPr>
        <w:pStyle w:val="1"/>
        <w:numPr>
          <w:ilvl w:val="0"/>
          <w:numId w:val="4"/>
        </w:numPr>
        <w:spacing w:before="0" w:after="0"/>
        <w:ind w:left="284" w:firstLine="425"/>
      </w:pPr>
      <w:r>
        <w:t>представление результатов измерения, информации о состоянии средств измерения, информации о состоянии объектов измерения (при использовании данной информации для расчета значений учетных показателей) на уровень информационно-вычислительного комплекса верхнего уровня (далее - ИВК ВУ);</w:t>
      </w:r>
    </w:p>
    <w:p w:rsidR="008D4198" w:rsidRPr="00DD7717" w:rsidRDefault="00CF233A" w:rsidP="00470EA6">
      <w:pPr>
        <w:pStyle w:val="1"/>
        <w:numPr>
          <w:ilvl w:val="0"/>
          <w:numId w:val="4"/>
        </w:numPr>
        <w:spacing w:before="0" w:after="0"/>
        <w:ind w:left="284" w:firstLine="425"/>
      </w:pPr>
      <w:r w:rsidRPr="00DD7717">
        <w:rPr>
          <w:bCs/>
        </w:rPr>
        <w:t>программное обеспечение и применяемые протоколы ИИК/ИВК ВУ системы должны быть открытыми и обеспечивать интеграцию с ПО «Альфа Центр» и ПО «</w:t>
      </w:r>
      <w:proofErr w:type="spellStart"/>
      <w:r w:rsidRPr="00DD7717">
        <w:rPr>
          <w:bCs/>
        </w:rPr>
        <w:t>Энфорс</w:t>
      </w:r>
      <w:proofErr w:type="spellEnd"/>
      <w:r w:rsidRPr="00DD7717">
        <w:t>;</w:t>
      </w:r>
    </w:p>
    <w:p w:rsidR="008D4198" w:rsidRDefault="00CF233A" w:rsidP="00470EA6">
      <w:pPr>
        <w:pStyle w:val="1"/>
        <w:numPr>
          <w:ilvl w:val="0"/>
          <w:numId w:val="4"/>
        </w:numPr>
        <w:spacing w:before="0" w:after="0"/>
        <w:ind w:left="284" w:firstLine="425"/>
      </w:pPr>
      <w:r>
        <w:t xml:space="preserve">управление и </w:t>
      </w:r>
      <w:proofErr w:type="spellStart"/>
      <w:r>
        <w:t>параметрирование</w:t>
      </w:r>
      <w:proofErr w:type="spellEnd"/>
      <w:r>
        <w:t xml:space="preserve"> входящих в нее компонентов;</w:t>
      </w:r>
    </w:p>
    <w:p w:rsidR="008D4198" w:rsidRDefault="00CF233A" w:rsidP="00470EA6">
      <w:pPr>
        <w:pStyle w:val="1"/>
        <w:numPr>
          <w:ilvl w:val="0"/>
          <w:numId w:val="4"/>
        </w:numPr>
        <w:spacing w:before="0" w:after="0"/>
        <w:ind w:left="284" w:firstLine="425"/>
      </w:pPr>
      <w:r>
        <w:t xml:space="preserve">вычисление баланса электроэнергии в ИВК ВУ по вводам 0,4 </w:t>
      </w:r>
      <w:proofErr w:type="spellStart"/>
      <w:r>
        <w:t>кВ</w:t>
      </w:r>
      <w:proofErr w:type="spellEnd"/>
      <w:r>
        <w:t xml:space="preserve"> ТП и отходящим линиям в целом, а также контроль достоверности передаваемых/получаемых данных;</w:t>
      </w:r>
    </w:p>
    <w:p w:rsidR="008D4198" w:rsidRDefault="00CF233A" w:rsidP="00470EA6">
      <w:pPr>
        <w:pStyle w:val="1"/>
        <w:numPr>
          <w:ilvl w:val="0"/>
          <w:numId w:val="4"/>
        </w:numPr>
        <w:spacing w:before="0" w:after="0"/>
        <w:ind w:left="284" w:firstLine="425"/>
      </w:pPr>
      <w:r>
        <w:t>удаленный доступ к ПУ и устройству сбора и передачи данных/базовой станции (далее - УСПД/БС) со стороны центрального сервера обработки данных сбытовой компании;</w:t>
      </w:r>
    </w:p>
    <w:p w:rsidR="008D4198" w:rsidRDefault="00CF233A" w:rsidP="00470EA6">
      <w:pPr>
        <w:pStyle w:val="1"/>
        <w:numPr>
          <w:ilvl w:val="0"/>
          <w:numId w:val="4"/>
        </w:numPr>
        <w:spacing w:before="0" w:after="0"/>
        <w:ind w:left="284" w:firstLine="425"/>
      </w:pPr>
      <w:r>
        <w:lastRenderedPageBreak/>
        <w:t>надежный опрос и получение информации с 97% установленных ПУ (суточный опрос, месячный опрос).</w:t>
      </w:r>
    </w:p>
    <w:p w:rsidR="008D4198" w:rsidRDefault="00CF233A" w:rsidP="00470EA6">
      <w:pPr>
        <w:pStyle w:val="1"/>
        <w:numPr>
          <w:ilvl w:val="0"/>
          <w:numId w:val="4"/>
        </w:numPr>
        <w:spacing w:before="0" w:after="0"/>
        <w:ind w:left="284" w:firstLine="425"/>
      </w:pPr>
      <w:r>
        <w:t>сохранность информации при возникновении любых нештатных ситуаций, а также при авариях;</w:t>
      </w:r>
    </w:p>
    <w:p w:rsidR="008D4198" w:rsidRDefault="00CF233A" w:rsidP="00470EA6">
      <w:pPr>
        <w:pStyle w:val="1"/>
        <w:numPr>
          <w:ilvl w:val="0"/>
          <w:numId w:val="4"/>
        </w:numPr>
        <w:spacing w:before="0" w:after="0"/>
        <w:ind w:left="284" w:firstLine="425"/>
      </w:pPr>
      <w:r>
        <w:t>все оборудование создаваемой системы учета должно иметь схему электропитания, обеспечивающую сохранение работоспособности (с сохранением измерительной информации) при кратковременных перерывах электропитания и перепадах напряжения;</w:t>
      </w:r>
    </w:p>
    <w:p w:rsidR="008D4198" w:rsidRDefault="00CF233A" w:rsidP="00470EA6">
      <w:pPr>
        <w:pStyle w:val="1"/>
        <w:numPr>
          <w:ilvl w:val="0"/>
          <w:numId w:val="4"/>
        </w:numPr>
        <w:spacing w:before="0" w:after="0"/>
        <w:ind w:left="284" w:firstLine="425"/>
      </w:pPr>
      <w:r>
        <w:rPr>
          <w:lang w:val="en-US"/>
        </w:rPr>
        <w:t>c</w:t>
      </w:r>
      <w:r>
        <w:t xml:space="preserve">монтированное оборудование должно быть интегрировано в </w:t>
      </w:r>
      <w:r>
        <w:rPr>
          <w:bCs/>
        </w:rPr>
        <w:t>ИВК ВУ</w:t>
      </w:r>
      <w:r>
        <w:t>;</w:t>
      </w:r>
    </w:p>
    <w:p w:rsidR="008D4198" w:rsidRDefault="00CF233A" w:rsidP="00470EA6">
      <w:pPr>
        <w:pStyle w:val="1"/>
        <w:numPr>
          <w:ilvl w:val="0"/>
          <w:numId w:val="4"/>
        </w:numPr>
        <w:spacing w:before="0" w:after="0"/>
        <w:ind w:left="284" w:firstLine="425"/>
      </w:pPr>
      <w:r>
        <w:t xml:space="preserve">должно обеспечиваться ведение системы единого времени с погрешностью не более </w:t>
      </w:r>
      <w:r>
        <w:rPr>
          <w:rFonts w:ascii="Symbol" w:eastAsia="Symbol" w:hAnsi="Symbol" w:cs="Symbol"/>
        </w:rPr>
        <w:t></w:t>
      </w:r>
      <w:r>
        <w:t>5 секунд в сутки.</w:t>
      </w:r>
    </w:p>
    <w:p w:rsidR="008D4198" w:rsidRDefault="00CF233A" w:rsidP="00470EA6">
      <w:pPr>
        <w:pStyle w:val="1"/>
        <w:numPr>
          <w:ilvl w:val="0"/>
          <w:numId w:val="4"/>
        </w:numPr>
        <w:spacing w:before="0" w:after="0"/>
        <w:ind w:left="284" w:firstLine="425"/>
      </w:pPr>
      <w:r>
        <w:t xml:space="preserve">отключение и включение нагрузки потребителей по команде от </w:t>
      </w:r>
      <w:r>
        <w:rPr>
          <w:bCs/>
        </w:rPr>
        <w:t>ИВК ВУ;</w:t>
      </w:r>
    </w:p>
    <w:p w:rsidR="008D4198" w:rsidRDefault="00CF233A" w:rsidP="00470EA6">
      <w:pPr>
        <w:pStyle w:val="1"/>
        <w:numPr>
          <w:ilvl w:val="0"/>
          <w:numId w:val="4"/>
        </w:numPr>
        <w:spacing w:before="0" w:after="0"/>
        <w:ind w:left="284" w:firstLine="425"/>
      </w:pPr>
      <w:r>
        <w:t xml:space="preserve">установку лимита мощности потребителей по команде от </w:t>
      </w:r>
      <w:r>
        <w:rPr>
          <w:bCs/>
        </w:rPr>
        <w:t>ИВК ВУ</w:t>
      </w:r>
      <w:r>
        <w:t>;</w:t>
      </w:r>
    </w:p>
    <w:p w:rsidR="008D4198" w:rsidRDefault="00CF233A" w:rsidP="00470EA6">
      <w:pPr>
        <w:pStyle w:val="1"/>
        <w:numPr>
          <w:ilvl w:val="0"/>
          <w:numId w:val="4"/>
        </w:numPr>
        <w:spacing w:before="0" w:after="0"/>
        <w:ind w:left="284" w:firstLine="425"/>
      </w:pPr>
      <w:r>
        <w:t xml:space="preserve">программирование тарифных расписаний ПУ по команде от </w:t>
      </w:r>
      <w:r>
        <w:rPr>
          <w:bCs/>
        </w:rPr>
        <w:t>ИВК ВУ</w:t>
      </w:r>
      <w:r>
        <w:t>;</w:t>
      </w:r>
    </w:p>
    <w:p w:rsidR="008D4198" w:rsidRDefault="00CF233A" w:rsidP="00470EA6">
      <w:pPr>
        <w:pStyle w:val="1"/>
        <w:numPr>
          <w:ilvl w:val="0"/>
          <w:numId w:val="4"/>
        </w:numPr>
        <w:spacing w:before="0" w:after="0"/>
        <w:ind w:left="284" w:firstLine="425"/>
      </w:pPr>
      <w:r>
        <w:t xml:space="preserve">чтение журналов событий ПУ по команде от </w:t>
      </w:r>
      <w:r>
        <w:rPr>
          <w:bCs/>
        </w:rPr>
        <w:t>ИВК ВУ;</w:t>
      </w:r>
    </w:p>
    <w:p w:rsidR="008D4198" w:rsidRDefault="00CF233A" w:rsidP="00470EA6">
      <w:pPr>
        <w:pStyle w:val="1"/>
        <w:numPr>
          <w:ilvl w:val="0"/>
          <w:numId w:val="0"/>
        </w:numPr>
        <w:spacing w:before="0" w:after="0"/>
        <w:ind w:left="284" w:firstLine="425"/>
      </w:pPr>
      <w:r>
        <w:t>- заведение и удаление ПУ в УСПД.</w:t>
      </w:r>
    </w:p>
    <w:p w:rsidR="008D4198" w:rsidRDefault="00CF233A" w:rsidP="00470EA6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1.2. Требования к ПУ электрической энергии</w:t>
      </w:r>
    </w:p>
    <w:p w:rsidR="008D4198" w:rsidRDefault="00CF233A" w:rsidP="00470EA6">
      <w:pPr>
        <w:pStyle w:val="1"/>
        <w:numPr>
          <w:ilvl w:val="0"/>
          <w:numId w:val="0"/>
        </w:numPr>
        <w:spacing w:before="0" w:after="0"/>
        <w:ind w:left="284" w:firstLine="425"/>
      </w:pPr>
      <w:r>
        <w:t xml:space="preserve">По способу установки ПУ допускается монтаж в щит учета, на </w:t>
      </w:r>
      <w:proofErr w:type="spellStart"/>
      <w:r>
        <w:t>din</w:t>
      </w:r>
      <w:proofErr w:type="spellEnd"/>
      <w:r>
        <w:t>-рейку или на опору.</w:t>
      </w:r>
    </w:p>
    <w:p w:rsidR="008D4198" w:rsidRDefault="00CF233A" w:rsidP="00470EA6">
      <w:pPr>
        <w:pStyle w:val="1"/>
        <w:numPr>
          <w:ilvl w:val="0"/>
          <w:numId w:val="0"/>
        </w:numPr>
        <w:spacing w:before="0" w:after="0"/>
        <w:ind w:left="284" w:firstLine="425"/>
      </w:pPr>
      <w:r>
        <w:t xml:space="preserve">Для отображения показаний и наблюдения за индикатором функционирования, ПУ электрической энергии должен быть оборудован встроенным дисплеем, кроме ПУ </w:t>
      </w:r>
      <w:r>
        <w:rPr>
          <w:lang w:val="en-US"/>
        </w:rPr>
        <w:t>split</w:t>
      </w:r>
      <w:r>
        <w:t>-исполнения. Все ПУ должны быть укомплектованы удаленным (выносным) дисплеем за исключением ПУ электрической энергии, устанавливаемых/заменяемых в ТП.</w:t>
      </w:r>
    </w:p>
    <w:p w:rsidR="008D4198" w:rsidRDefault="00CF233A" w:rsidP="00470EA6">
      <w:pPr>
        <w:pStyle w:val="1"/>
        <w:numPr>
          <w:ilvl w:val="0"/>
          <w:numId w:val="0"/>
        </w:numPr>
        <w:spacing w:before="0" w:after="0"/>
        <w:ind w:left="284" w:firstLine="425"/>
      </w:pPr>
      <w:r>
        <w:t>При организации учета электроэнергии на ТП обязательно наличие встроенного цифрового дисплея отображения информации.</w:t>
      </w:r>
    </w:p>
    <w:p w:rsidR="008D4198" w:rsidRDefault="00CF233A" w:rsidP="00470EA6">
      <w:pPr>
        <w:pStyle w:val="1"/>
        <w:numPr>
          <w:ilvl w:val="0"/>
          <w:numId w:val="0"/>
        </w:numPr>
        <w:spacing w:before="0" w:after="0"/>
        <w:ind w:left="284" w:firstLine="425"/>
      </w:pPr>
      <w:r>
        <w:t>ПУ электрической энергии должны иметь:</w:t>
      </w:r>
    </w:p>
    <w:p w:rsidR="008D4198" w:rsidRDefault="00CF233A" w:rsidP="00470EA6">
      <w:pPr>
        <w:pStyle w:val="1"/>
        <w:numPr>
          <w:ilvl w:val="0"/>
          <w:numId w:val="4"/>
        </w:numPr>
        <w:spacing w:before="0" w:after="0"/>
        <w:ind w:left="284" w:firstLine="425"/>
      </w:pPr>
      <w:r>
        <w:t>возможность контроля мощности путём записи профиля мощности с временем интеграции 30 и 60 минут;</w:t>
      </w:r>
    </w:p>
    <w:p w:rsidR="008D4198" w:rsidRDefault="00CF233A" w:rsidP="00470EA6">
      <w:pPr>
        <w:pStyle w:val="1"/>
        <w:numPr>
          <w:ilvl w:val="0"/>
          <w:numId w:val="4"/>
        </w:numPr>
        <w:spacing w:before="0" w:after="0"/>
        <w:ind w:left="284" w:firstLine="425"/>
      </w:pPr>
      <w:r>
        <w:t>возможность дистанционного отключения нагрузки ПУ на ответвлениях к потребителям электрической энергии, кроме ПУ трансформаторного включения;</w:t>
      </w:r>
    </w:p>
    <w:p w:rsidR="008D4198" w:rsidRDefault="00CF233A" w:rsidP="00470EA6">
      <w:pPr>
        <w:pStyle w:val="1"/>
        <w:numPr>
          <w:ilvl w:val="0"/>
          <w:numId w:val="4"/>
        </w:numPr>
        <w:spacing w:before="0" w:after="0"/>
        <w:ind w:left="284" w:firstLine="425"/>
      </w:pPr>
      <w:r>
        <w:t>автоматическое отключение подключаемой нагрузки при превышении установленного значения потребляемой мощности электрической энергии;</w:t>
      </w:r>
    </w:p>
    <w:p w:rsidR="008D4198" w:rsidRDefault="00CF233A" w:rsidP="00470EA6">
      <w:pPr>
        <w:pStyle w:val="1"/>
        <w:numPr>
          <w:ilvl w:val="0"/>
          <w:numId w:val="4"/>
        </w:numPr>
        <w:spacing w:before="0" w:after="0"/>
        <w:ind w:left="284" w:firstLine="425"/>
      </w:pPr>
      <w:r>
        <w:t>взаимодействие с УСПД/БС для приёма и передачи данных;</w:t>
      </w:r>
    </w:p>
    <w:p w:rsidR="008D4198" w:rsidRDefault="00CF233A" w:rsidP="00470EA6">
      <w:pPr>
        <w:pStyle w:val="1"/>
        <w:numPr>
          <w:ilvl w:val="0"/>
          <w:numId w:val="4"/>
        </w:numPr>
        <w:spacing w:before="0" w:after="0"/>
        <w:ind w:left="284" w:firstLine="425"/>
      </w:pPr>
      <w:r>
        <w:t>возможность диагностики работы технических средств системы;</w:t>
      </w:r>
    </w:p>
    <w:p w:rsidR="008D4198" w:rsidRDefault="00CF233A" w:rsidP="00470EA6">
      <w:pPr>
        <w:pStyle w:val="1"/>
        <w:numPr>
          <w:ilvl w:val="0"/>
          <w:numId w:val="4"/>
        </w:numPr>
        <w:spacing w:before="0" w:after="0"/>
        <w:ind w:left="284" w:firstLine="425"/>
      </w:pPr>
      <w:r>
        <w:t>хранение данных измерения в базе данных ПУ при отключении его питания;</w:t>
      </w:r>
    </w:p>
    <w:p w:rsidR="008D4198" w:rsidRDefault="00CF233A" w:rsidP="00470EA6">
      <w:pPr>
        <w:pStyle w:val="1"/>
        <w:numPr>
          <w:ilvl w:val="0"/>
          <w:numId w:val="4"/>
        </w:numPr>
        <w:spacing w:before="0" w:after="0"/>
        <w:ind w:left="284" w:firstLine="425"/>
        <w:rPr>
          <w:rStyle w:val="pt-a1"/>
        </w:rPr>
      </w:pPr>
      <w:r>
        <w:t xml:space="preserve">на физическом уровне должно быть обеспечено использование канала </w:t>
      </w:r>
      <w:r>
        <w:rPr>
          <w:lang w:val="en-US"/>
        </w:rPr>
        <w:t>NB</w:t>
      </w:r>
      <w:r>
        <w:t>-</w:t>
      </w:r>
      <w:r>
        <w:rPr>
          <w:lang w:val="en-US"/>
        </w:rPr>
        <w:t>Fi</w:t>
      </w:r>
      <w:r>
        <w:t xml:space="preserve"> (основной), который в свою очередь должен быть включен в перечень стандартизированных протоколов передачи данных, утвержденный приказом Министерства цифрового развития, связи и массовых коммуникаций РФ №788 от 30.12.2020.</w:t>
      </w:r>
    </w:p>
    <w:p w:rsidR="008D4198" w:rsidRDefault="00CF233A" w:rsidP="00470EA6">
      <w:pPr>
        <w:pStyle w:val="1"/>
        <w:numPr>
          <w:ilvl w:val="0"/>
          <w:numId w:val="4"/>
        </w:numPr>
        <w:spacing w:before="0" w:after="0"/>
        <w:ind w:left="284" w:firstLine="425"/>
      </w:pPr>
      <w:r>
        <w:t>наличие "Журнала событий"</w:t>
      </w:r>
      <w:r w:rsidRPr="00470EA6">
        <w:t>;</w:t>
      </w:r>
    </w:p>
    <w:p w:rsidR="008D4198" w:rsidRDefault="00CF233A" w:rsidP="00470EA6">
      <w:pPr>
        <w:pStyle w:val="1"/>
        <w:numPr>
          <w:ilvl w:val="0"/>
          <w:numId w:val="4"/>
        </w:numPr>
        <w:spacing w:before="0" w:after="0"/>
        <w:ind w:left="284" w:firstLine="425"/>
      </w:pPr>
      <w:r>
        <w:t>наличие контроля тока в нейтральном проводе;</w:t>
      </w:r>
    </w:p>
    <w:p w:rsidR="008D4198" w:rsidRDefault="00CF233A" w:rsidP="00470EA6">
      <w:pPr>
        <w:pStyle w:val="1"/>
        <w:numPr>
          <w:ilvl w:val="0"/>
          <w:numId w:val="4"/>
        </w:numPr>
        <w:spacing w:before="0" w:after="0"/>
        <w:ind w:left="284" w:firstLine="425"/>
      </w:pPr>
      <w:r>
        <w:t>обеспечение безопасности хранения данных. Глубина хранения профиля у ПУ не менее 90 суток;</w:t>
      </w:r>
    </w:p>
    <w:p w:rsidR="008D4198" w:rsidRDefault="00CF233A" w:rsidP="00470EA6">
      <w:pPr>
        <w:pStyle w:val="1"/>
        <w:numPr>
          <w:ilvl w:val="0"/>
          <w:numId w:val="4"/>
        </w:numPr>
        <w:spacing w:before="0" w:after="0"/>
        <w:ind w:left="284" w:firstLine="425"/>
      </w:pPr>
      <w:r>
        <w:t>наличие возможности установки паролей на ПУ;</w:t>
      </w:r>
    </w:p>
    <w:p w:rsidR="008D4198" w:rsidRDefault="00CF233A" w:rsidP="00470EA6">
      <w:pPr>
        <w:pStyle w:val="1"/>
        <w:numPr>
          <w:ilvl w:val="0"/>
          <w:numId w:val="4"/>
        </w:numPr>
        <w:spacing w:before="0" w:after="0"/>
        <w:ind w:left="284" w:firstLine="425"/>
      </w:pPr>
      <w:r>
        <w:t>программирования тарифных расписаний</w:t>
      </w:r>
      <w:r w:rsidRPr="00470EA6">
        <w:t>;</w:t>
      </w:r>
    </w:p>
    <w:p w:rsidR="008D4198" w:rsidRDefault="00CF233A" w:rsidP="00470EA6">
      <w:pPr>
        <w:pStyle w:val="1"/>
        <w:numPr>
          <w:ilvl w:val="0"/>
          <w:numId w:val="4"/>
        </w:numPr>
        <w:spacing w:before="0" w:after="0"/>
        <w:ind w:left="284" w:firstLine="425"/>
      </w:pPr>
      <w:r>
        <w:t>отключения и включения нагрузки по команде от УСПД/БС.</w:t>
      </w:r>
    </w:p>
    <w:p w:rsidR="008D4198" w:rsidRDefault="00CF233A" w:rsidP="00470EA6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 Требования к вторичным цепям</w:t>
      </w:r>
    </w:p>
    <w:p w:rsidR="008D4198" w:rsidRDefault="00CF233A" w:rsidP="00470EA6">
      <w:pPr>
        <w:tabs>
          <w:tab w:val="left" w:pos="567"/>
          <w:tab w:val="left" w:pos="851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Подключение ПУ к трансформаторам тока (далее – ТТ) 0,4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необходимо выполнять отдельными медными проводами (кабелем). Вторичные цепи должны соответствовать требованиям ПУЭ.</w:t>
      </w:r>
    </w:p>
    <w:p w:rsidR="008D4198" w:rsidRDefault="00CF233A" w:rsidP="00470EA6">
      <w:pPr>
        <w:tabs>
          <w:tab w:val="left" w:pos="567"/>
          <w:tab w:val="left" w:pos="851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 подключении ПУ не допускается применение скруток и паек во вторичных цепях. Сечение соединительных проводов во вторичных цепях ТТ расчетного и технического учета должны быть не менее 2,5 кв. мм.</w:t>
      </w:r>
    </w:p>
    <w:p w:rsidR="008D4198" w:rsidRDefault="00CF233A" w:rsidP="00470EA6">
      <w:pPr>
        <w:tabs>
          <w:tab w:val="left" w:pos="567"/>
          <w:tab w:val="left" w:pos="851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Подключение ПУ электрической энергии в ТП (на вводах и на отходящих линиях), в случае подключения через измерительные трансформаторы тока, должно осуществляться с применением испытательных коробок (специализированных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клеммников</w:t>
      </w:r>
      <w:proofErr w:type="spellEnd"/>
      <w:r>
        <w:rPr>
          <w:rFonts w:ascii="Times New Roman" w:hAnsi="Times New Roman" w:cs="Times New Roman"/>
          <w:sz w:val="24"/>
          <w:szCs w:val="24"/>
        </w:rPr>
        <w:t>), расположенных около ПУ.</w:t>
      </w:r>
    </w:p>
    <w:p w:rsidR="008D4198" w:rsidRDefault="00CF233A" w:rsidP="00470EA6">
      <w:pPr>
        <w:tabs>
          <w:tab w:val="left" w:pos="567"/>
          <w:tab w:val="left" w:pos="851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провода вторичных цепей должны быть собраны в жгуты, и закреплены.</w:t>
      </w:r>
    </w:p>
    <w:p w:rsidR="008D4198" w:rsidRDefault="00CF233A" w:rsidP="00470EA6">
      <w:pPr>
        <w:tabs>
          <w:tab w:val="left" w:pos="567"/>
          <w:tab w:val="left" w:pos="851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прокладке проводов вторичных цепей по металлическим частям подстанции должна быть установлена дополнительная изоляция в виде монтажной спирали. </w:t>
      </w:r>
    </w:p>
    <w:p w:rsidR="008D4198" w:rsidRDefault="00CF233A" w:rsidP="00470EA6">
      <w:pPr>
        <w:tabs>
          <w:tab w:val="left" w:pos="567"/>
          <w:tab w:val="left" w:pos="851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местах соединения, ответвления и присоединения жил проводов или кабелей должен быть предусмотрен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запас провода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обеспечивающий возможность повторного соединения (не менее 12 см, на испытательной коробке исполнение данного запаса должно быть в виде петель для удобства производства замеров).</w:t>
      </w:r>
    </w:p>
    <w:p w:rsidR="008D4198" w:rsidRDefault="00CF233A" w:rsidP="00470EA6">
      <w:pPr>
        <w:tabs>
          <w:tab w:val="left" w:pos="567"/>
          <w:tab w:val="left" w:pos="851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местах соединения и ответвления провода (кабели) не должны испытывать механических усилий или натяжения.</w:t>
      </w:r>
    </w:p>
    <w:p w:rsidR="008D4198" w:rsidRDefault="00CF233A" w:rsidP="00470EA6">
      <w:pPr>
        <w:tabs>
          <w:tab w:val="left" w:pos="567"/>
          <w:tab w:val="left" w:pos="851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местах присоединения к токоведущим частям концы проводов должны быть обжаты под наконечник либо сделаны кольца (в случае с жёстким проводом) и зажаты под шайбу с болтовым соединением (не более 3 соединений под одну шайбу). </w:t>
      </w:r>
    </w:p>
    <w:p w:rsidR="008D4198" w:rsidRDefault="00CF233A" w:rsidP="00470EA6">
      <w:pPr>
        <w:tabs>
          <w:tab w:val="left" w:pos="567"/>
          <w:tab w:val="left" w:pos="851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вторичные цепи должны быть промаркированы, и подписаны.</w:t>
      </w:r>
    </w:p>
    <w:p w:rsidR="008D4198" w:rsidRDefault="00CF233A" w:rsidP="00470EA6">
      <w:pPr>
        <w:tabs>
          <w:tab w:val="left" w:pos="567"/>
          <w:tab w:val="left" w:pos="851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Вторичные цепи должны иметь возможность опломбировки.</w:t>
      </w:r>
    </w:p>
    <w:p w:rsidR="008D4198" w:rsidRDefault="00CF233A" w:rsidP="00470EA6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1.4. Требования к системе организации единого времени</w:t>
      </w:r>
    </w:p>
    <w:p w:rsidR="008D4198" w:rsidRDefault="00CF233A" w:rsidP="00470EA6">
      <w:pPr>
        <w:tabs>
          <w:tab w:val="left" w:pos="567"/>
          <w:tab w:val="left" w:pos="8364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Система организации единого времени (далее – СОЕВ) должна выполнять законченную функцию измерений времени, иметь нормированные метрологические характеристики и обеспечивать автоматическую синхронизацию времени в системе при проведении измерений количества электроэнергии с точностью не более ±5 секунд в сутки.</w:t>
      </w:r>
    </w:p>
    <w:p w:rsidR="008D4198" w:rsidRDefault="00CF233A" w:rsidP="00470EA6">
      <w:pPr>
        <w:tabs>
          <w:tab w:val="left" w:pos="567"/>
          <w:tab w:val="left" w:pos="8364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Приемник сигналов точного времени должен подключаться к системе по цифровому интерфейсу.</w:t>
      </w:r>
    </w:p>
    <w:p w:rsidR="008D4198" w:rsidRDefault="00CF233A" w:rsidP="00470EA6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1.5. Требования к проводу СИП</w:t>
      </w:r>
    </w:p>
    <w:p w:rsidR="008D4198" w:rsidRDefault="00CF233A" w:rsidP="00470EA6">
      <w:pPr>
        <w:tabs>
          <w:tab w:val="left" w:pos="567"/>
          <w:tab w:val="left" w:pos="8364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монтажа ответвлений к вводам в здания (сооружения) применять провод СИП-4 сечением не менее 16 мм², в МКД – не менее 25 мм².</w:t>
      </w:r>
    </w:p>
    <w:p w:rsidR="008D4198" w:rsidRDefault="00CF233A" w:rsidP="00470EA6">
      <w:pPr>
        <w:tabs>
          <w:tab w:val="left" w:pos="567"/>
          <w:tab w:val="left" w:pos="8364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Технические характеристики СИП-4 должны соответствовать ГОСТ 31946-2012</w:t>
      </w:r>
    </w:p>
    <w:p w:rsidR="008D4198" w:rsidRDefault="00CF233A" w:rsidP="00470EA6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1.6. Требования к зажимной, подвесной арматуре для линий, выполненных проводом СИП</w:t>
      </w:r>
    </w:p>
    <w:p w:rsidR="008D4198" w:rsidRDefault="00CF233A" w:rsidP="00470EA6">
      <w:pPr>
        <w:tabs>
          <w:tab w:val="left" w:pos="567"/>
          <w:tab w:val="left" w:pos="851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Арматура должна иметь сертификаты соответствия и протоколы сертификационных испытаний, подтверждающие заявленные характеристики. Объем и виды испытаний должны соответствовать настоящим техническим требованиям и стандарту Е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50483.</w:t>
      </w:r>
    </w:p>
    <w:p w:rsidR="008D4198" w:rsidRDefault="00CF233A" w:rsidP="00470EA6">
      <w:pPr>
        <w:tabs>
          <w:tab w:val="left" w:pos="567"/>
          <w:tab w:val="left" w:pos="851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Арматура должна изготавливаться в климатическом исполнении УХЛ1 по ГОСТ 15150.  </w:t>
      </w:r>
    </w:p>
    <w:p w:rsidR="008D4198" w:rsidRDefault="00CF233A" w:rsidP="00470EA6">
      <w:pPr>
        <w:tabs>
          <w:tab w:val="left" w:pos="567"/>
          <w:tab w:val="left" w:pos="851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Гарантийный эксплуатационный срок службы арматуры - 40 лет. Арматура должна быть рассчитана на возможность эксплуатации в непрерывном режиме круглосуточно в течение установленного срока службы.</w:t>
      </w:r>
    </w:p>
    <w:p w:rsidR="008D4198" w:rsidRDefault="00CF233A" w:rsidP="00470EA6">
      <w:pPr>
        <w:tabs>
          <w:tab w:val="left" w:pos="567"/>
          <w:tab w:val="left" w:pos="851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Арматура должна:</w:t>
      </w:r>
    </w:p>
    <w:p w:rsidR="008D4198" w:rsidRDefault="00CF233A" w:rsidP="00470EA6">
      <w:pPr>
        <w:pStyle w:val="af9"/>
        <w:numPr>
          <w:ilvl w:val="0"/>
          <w:numId w:val="7"/>
        </w:numPr>
        <w:tabs>
          <w:tab w:val="left" w:pos="0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допускать повреждение провода;</w:t>
      </w:r>
    </w:p>
    <w:p w:rsidR="008D4198" w:rsidRDefault="00CF233A" w:rsidP="00470EA6">
      <w:pPr>
        <w:pStyle w:val="af9"/>
        <w:numPr>
          <w:ilvl w:val="0"/>
          <w:numId w:val="7"/>
        </w:numPr>
        <w:tabs>
          <w:tab w:val="left" w:pos="0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выдерживать механические нагрузки, возникающие в процессе монтажа и эксплуатации; наибольший рабочий ток и ток короткого замыкания; расчётные климатические нагрузки;</w:t>
      </w:r>
    </w:p>
    <w:p w:rsidR="008D4198" w:rsidRDefault="00CF233A" w:rsidP="00470EA6">
      <w:pPr>
        <w:pStyle w:val="af9"/>
        <w:numPr>
          <w:ilvl w:val="0"/>
          <w:numId w:val="7"/>
        </w:numPr>
        <w:tabs>
          <w:tab w:val="left" w:pos="0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обеспечивать надёжный электрический контакт в течение всего срока эксплуатации.</w:t>
      </w:r>
    </w:p>
    <w:p w:rsidR="008D4198" w:rsidRDefault="00CF233A" w:rsidP="00470EA6">
      <w:pPr>
        <w:tabs>
          <w:tab w:val="left" w:pos="709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Минимальная температура монтажа арматуры без предварительного подогрева              минус 20 °С.</w:t>
      </w:r>
    </w:p>
    <w:p w:rsidR="008D4198" w:rsidRDefault="00CF233A" w:rsidP="00470EA6">
      <w:pPr>
        <w:tabs>
          <w:tab w:val="left" w:pos="709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Арматура должна изготавливаться из материалов, обеспечивающих долговечность её эксплуатации в условиях нормированных электрических, механических и климатических воздействий.</w:t>
      </w:r>
    </w:p>
    <w:p w:rsidR="008D4198" w:rsidRDefault="00CF233A" w:rsidP="00470EA6">
      <w:pPr>
        <w:tabs>
          <w:tab w:val="left" w:pos="709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элементы арматуры для проводов и несущих жил должны либо обладать устойчивостью к коррозии, либо иметь металлические защитные покрытия, предохраняющие от коррозии.</w:t>
      </w:r>
    </w:p>
    <w:p w:rsidR="008D4198" w:rsidRDefault="00CF233A" w:rsidP="00470EA6">
      <w:pPr>
        <w:tabs>
          <w:tab w:val="left" w:pos="709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Арматура должна обладать достаточной диэлектрической прочностью и герметичностью, исключающую возможность попадания влаги к проводящим жилам. </w:t>
      </w:r>
    </w:p>
    <w:p w:rsidR="008D4198" w:rsidRDefault="00CF233A" w:rsidP="00470EA6">
      <w:pPr>
        <w:tabs>
          <w:tab w:val="left" w:pos="709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Изолированная соединительная арматура, изолированные прокалывающие зажимы и изолированные кабельные наконечники должны обеспечивать достаточный электрический контакт, исключающий повреждение и нагрев соединения выше допустимой температуры провода.</w:t>
      </w:r>
    </w:p>
    <w:p w:rsidR="008D4198" w:rsidRDefault="00CF233A" w:rsidP="00470EA6">
      <w:pPr>
        <w:tabs>
          <w:tab w:val="left" w:pos="709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Степень диэлектрической прочности соединительных зажимов, кабельных наконечников и изолированных прокалывающих зажимов должна быть 1 класса (Класс 1 - подвергаются испытаниям на диэлектрическую прочность в воде).</w:t>
      </w:r>
    </w:p>
    <w:p w:rsidR="008D4198" w:rsidRDefault="00CF233A" w:rsidP="00470EA6">
      <w:pPr>
        <w:tabs>
          <w:tab w:val="left" w:pos="709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Арматура должна быть совместима с российским СИП, соответствующим ГОСТ 31946- 2012.</w:t>
      </w:r>
    </w:p>
    <w:p w:rsidR="008D4198" w:rsidRDefault="00CF233A" w:rsidP="00470EA6">
      <w:pPr>
        <w:tabs>
          <w:tab w:val="left" w:pos="709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Наличие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срывной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головки из коррозионностойкого сплава у прокалывающих зажимов. </w:t>
      </w:r>
      <w:proofErr w:type="spellStart"/>
      <w:r>
        <w:rPr>
          <w:rFonts w:ascii="Times New Roman" w:hAnsi="Times New Roman" w:cs="Times New Roman"/>
          <w:sz w:val="24"/>
          <w:szCs w:val="24"/>
        </w:rPr>
        <w:t>Срывная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головка должна иметь опорную «шейку» для исключения вероятности досрочного срыва при затяжке в результате изгибающего момента. </w:t>
      </w:r>
    </w:p>
    <w:p w:rsidR="008D4198" w:rsidRDefault="00CF233A" w:rsidP="00470EA6">
      <w:pPr>
        <w:tabs>
          <w:tab w:val="left" w:pos="709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видном месте арматуры должны быть нанесены:</w:t>
      </w:r>
    </w:p>
    <w:p w:rsidR="008D4198" w:rsidRDefault="00CF233A" w:rsidP="00470EA6">
      <w:pPr>
        <w:pStyle w:val="af9"/>
        <w:numPr>
          <w:ilvl w:val="0"/>
          <w:numId w:val="7"/>
        </w:numPr>
        <w:tabs>
          <w:tab w:val="left" w:pos="0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товарный знак предприятия-изготовителя;</w:t>
      </w:r>
    </w:p>
    <w:p w:rsidR="008D4198" w:rsidRDefault="00CF233A" w:rsidP="00470EA6">
      <w:pPr>
        <w:pStyle w:val="af9"/>
        <w:numPr>
          <w:ilvl w:val="0"/>
          <w:numId w:val="7"/>
        </w:numPr>
        <w:tabs>
          <w:tab w:val="left" w:pos="0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марка или типоразмер арматуры;</w:t>
      </w:r>
    </w:p>
    <w:p w:rsidR="008D4198" w:rsidRDefault="00CF233A" w:rsidP="00470EA6">
      <w:pPr>
        <w:pStyle w:val="af9"/>
        <w:numPr>
          <w:ilvl w:val="0"/>
          <w:numId w:val="7"/>
        </w:numPr>
        <w:tabs>
          <w:tab w:val="left" w:pos="0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год изготовления (две последние цифры);</w:t>
      </w:r>
    </w:p>
    <w:p w:rsidR="008D4198" w:rsidRDefault="00CF233A" w:rsidP="00470EA6">
      <w:pPr>
        <w:pStyle w:val="af9"/>
        <w:numPr>
          <w:ilvl w:val="0"/>
          <w:numId w:val="7"/>
        </w:numPr>
        <w:tabs>
          <w:tab w:val="left" w:pos="0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момент затяжки болтового соединения (при наличии).</w:t>
      </w:r>
    </w:p>
    <w:p w:rsidR="008D4198" w:rsidRDefault="00CF233A" w:rsidP="00470EA6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1.7. Требования к зажимной, подвесной арматуре для линий, выполненных голым проводом</w:t>
      </w:r>
    </w:p>
    <w:p w:rsidR="008D4198" w:rsidRDefault="00CF233A" w:rsidP="00470EA6">
      <w:pPr>
        <w:tabs>
          <w:tab w:val="left" w:pos="851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Крепление к сталеалюминевому магистральному проводу с помощью провода СИП, отходящего к потребителю, должно производиться с помощью влагозащищённого зажима.</w:t>
      </w:r>
    </w:p>
    <w:p w:rsidR="008D4198" w:rsidRDefault="00CF233A" w:rsidP="00470EA6">
      <w:pPr>
        <w:tabs>
          <w:tab w:val="left" w:pos="851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Тип зажимов определить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предмонтажном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обследовании.</w:t>
      </w:r>
    </w:p>
    <w:p w:rsidR="008D4198" w:rsidRDefault="00CF233A" w:rsidP="00470EA6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4" w:name="_Toc3205072"/>
      <w:bookmarkStart w:id="5" w:name="_Toc4574534"/>
      <w:bookmarkStart w:id="6" w:name="_Toc4574674"/>
      <w:r>
        <w:rPr>
          <w:rFonts w:ascii="Times New Roman" w:hAnsi="Times New Roman" w:cs="Times New Roman"/>
          <w:b/>
          <w:sz w:val="24"/>
          <w:szCs w:val="24"/>
        </w:rPr>
        <w:t>1.8. Требования к каналам связи</w:t>
      </w:r>
      <w:bookmarkEnd w:id="4"/>
      <w:bookmarkEnd w:id="5"/>
      <w:bookmarkEnd w:id="6"/>
    </w:p>
    <w:p w:rsidR="008D4198" w:rsidRDefault="00CF233A" w:rsidP="00470EA6">
      <w:pPr>
        <w:pStyle w:val="1"/>
        <w:numPr>
          <w:ilvl w:val="0"/>
          <w:numId w:val="0"/>
        </w:numPr>
        <w:tabs>
          <w:tab w:val="left" w:pos="993"/>
        </w:tabs>
        <w:spacing w:before="0" w:after="0"/>
        <w:ind w:left="284" w:firstLine="425"/>
      </w:pPr>
      <w:r>
        <w:t>При удаленном сборе, передача данных должна осуществляться по каналам связи, обеспечивающим сбор и обмен данными по стандартным интерфейсам и протоколам обмена типа «запрос-ответ» в автоматическом и в автоматизированном (по запросу) режимах.</w:t>
      </w:r>
    </w:p>
    <w:p w:rsidR="008D4198" w:rsidRDefault="00CF233A" w:rsidP="00470EA6">
      <w:pPr>
        <w:pStyle w:val="1"/>
        <w:numPr>
          <w:ilvl w:val="0"/>
          <w:numId w:val="0"/>
        </w:numPr>
        <w:tabs>
          <w:tab w:val="left" w:pos="993"/>
        </w:tabs>
        <w:spacing w:before="0" w:after="0"/>
        <w:ind w:left="284" w:firstLine="425"/>
      </w:pPr>
      <w:r>
        <w:t>Должна обеспечиваться передача данных расчетного учета с нижнего уровня на верхний с временной задержкой, не превышающей 12 часов.</w:t>
      </w:r>
    </w:p>
    <w:p w:rsidR="008D4198" w:rsidRDefault="00CF233A" w:rsidP="00470EA6">
      <w:pPr>
        <w:pStyle w:val="1"/>
        <w:numPr>
          <w:ilvl w:val="0"/>
          <w:numId w:val="0"/>
        </w:numPr>
        <w:tabs>
          <w:tab w:val="left" w:pos="993"/>
        </w:tabs>
        <w:spacing w:before="0" w:after="0"/>
        <w:ind w:left="284" w:firstLine="425"/>
      </w:pPr>
      <w:r>
        <w:t>Задержка в передаче данных единичного запроса не должна превышать 30 минут.</w:t>
      </w:r>
    </w:p>
    <w:p w:rsidR="008D4198" w:rsidRDefault="00CF233A" w:rsidP="00470EA6">
      <w:pPr>
        <w:pStyle w:val="1"/>
        <w:numPr>
          <w:ilvl w:val="0"/>
          <w:numId w:val="0"/>
        </w:numPr>
        <w:tabs>
          <w:tab w:val="left" w:pos="993"/>
        </w:tabs>
        <w:spacing w:before="0" w:after="0"/>
        <w:ind w:left="284" w:firstLine="425"/>
      </w:pPr>
      <w:r>
        <w:t>Передача информации от УСПД до центра сбора информации может осуществляется:</w:t>
      </w:r>
    </w:p>
    <w:p w:rsidR="008D4198" w:rsidRDefault="00CF233A" w:rsidP="00470EA6">
      <w:pPr>
        <w:pStyle w:val="1"/>
        <w:numPr>
          <w:ilvl w:val="0"/>
          <w:numId w:val="16"/>
        </w:numPr>
        <w:tabs>
          <w:tab w:val="left" w:pos="0"/>
        </w:tabs>
        <w:spacing w:before="0" w:after="0"/>
        <w:ind w:left="284" w:firstLine="425"/>
      </w:pPr>
      <w:r>
        <w:t>по радиоканалам в сетях подвижной радиотелефонной связи (</w:t>
      </w:r>
      <w:r>
        <w:rPr>
          <w:lang w:val="en-US"/>
        </w:rPr>
        <w:t>GSM</w:t>
      </w:r>
      <w:r>
        <w:t>) в стандарте GPRS/</w:t>
      </w:r>
      <w:r>
        <w:rPr>
          <w:lang w:val="en-US"/>
        </w:rPr>
        <w:t>LTE</w:t>
      </w:r>
      <w:r>
        <w:t>/</w:t>
      </w:r>
      <w:r>
        <w:rPr>
          <w:lang w:val="en-US"/>
        </w:rPr>
        <w:t>UMTS</w:t>
      </w:r>
      <w:r>
        <w:t>;</w:t>
      </w:r>
    </w:p>
    <w:p w:rsidR="008D4198" w:rsidRDefault="00CF233A" w:rsidP="00470EA6">
      <w:pPr>
        <w:pStyle w:val="1"/>
        <w:numPr>
          <w:ilvl w:val="0"/>
          <w:numId w:val="16"/>
        </w:numPr>
        <w:tabs>
          <w:tab w:val="left" w:pos="0"/>
        </w:tabs>
        <w:spacing w:before="0" w:after="0"/>
        <w:ind w:left="284" w:firstLine="425"/>
      </w:pPr>
      <w:r>
        <w:t xml:space="preserve">по каналам проводной связи в стандарте </w:t>
      </w:r>
      <w:r>
        <w:rPr>
          <w:lang w:val="en-US"/>
        </w:rPr>
        <w:t>TCP</w:t>
      </w:r>
      <w:r>
        <w:t>/</w:t>
      </w:r>
      <w:r>
        <w:rPr>
          <w:lang w:val="en-US"/>
        </w:rPr>
        <w:t>IP</w:t>
      </w:r>
      <w:r>
        <w:t>.</w:t>
      </w:r>
    </w:p>
    <w:p w:rsidR="008D4198" w:rsidRDefault="00CF233A" w:rsidP="00470EA6">
      <w:pPr>
        <w:pStyle w:val="1"/>
        <w:numPr>
          <w:ilvl w:val="0"/>
          <w:numId w:val="0"/>
        </w:numPr>
        <w:tabs>
          <w:tab w:val="left" w:pos="993"/>
        </w:tabs>
        <w:spacing w:before="0" w:after="0"/>
        <w:ind w:left="284" w:firstLine="425"/>
      </w:pPr>
      <w:r>
        <w:t>Технические характеристики каналообразующей аппаратуры должны обеспечивать достаточную скорость передачи информации в канале, чтобы обеспечить стопроцентный сбор необходимой информации со всех ПУ.</w:t>
      </w:r>
    </w:p>
    <w:p w:rsidR="008D4198" w:rsidRDefault="00CF233A" w:rsidP="00470EA6">
      <w:pPr>
        <w:pStyle w:val="1"/>
        <w:numPr>
          <w:ilvl w:val="0"/>
          <w:numId w:val="0"/>
        </w:numPr>
        <w:tabs>
          <w:tab w:val="left" w:pos="993"/>
        </w:tabs>
        <w:spacing w:before="0" w:after="0"/>
        <w:ind w:left="284" w:firstLine="425"/>
      </w:pPr>
      <w:r>
        <w:t>Выбор оборудования и канала передачи данных должен производиться с учетом обеспечения надежности и экономичности (наименьших затрат) передачи данных.</w:t>
      </w:r>
    </w:p>
    <w:p w:rsidR="008D4198" w:rsidRDefault="00CF233A" w:rsidP="00470EA6">
      <w:pPr>
        <w:pStyle w:val="1"/>
        <w:numPr>
          <w:ilvl w:val="0"/>
          <w:numId w:val="0"/>
        </w:numPr>
        <w:tabs>
          <w:tab w:val="left" w:pos="993"/>
        </w:tabs>
        <w:spacing w:before="0" w:after="0"/>
        <w:ind w:left="284" w:firstLine="425"/>
      </w:pPr>
      <w:r>
        <w:t>При использовании каналов связи сети GS</w:t>
      </w:r>
      <w:r>
        <w:rPr>
          <w:lang w:val="en-US"/>
        </w:rPr>
        <w:t>M</w:t>
      </w:r>
      <w:r>
        <w:t xml:space="preserve"> для передачи данных с УСПД/БС модем должен обеспечивать в базовом режиме работу по протоколу GPRS/</w:t>
      </w:r>
      <w:r>
        <w:rPr>
          <w:lang w:val="en-US"/>
        </w:rPr>
        <w:t>LTE</w:t>
      </w:r>
      <w:r>
        <w:t>/</w:t>
      </w:r>
      <w:r>
        <w:rPr>
          <w:lang w:val="en-US"/>
        </w:rPr>
        <w:t>UMTS</w:t>
      </w:r>
      <w:r>
        <w:rPr>
          <w:bCs/>
          <w:iCs/>
        </w:rPr>
        <w:t xml:space="preserve">в сети одного из операторов связи. </w:t>
      </w:r>
    </w:p>
    <w:p w:rsidR="008D4198" w:rsidRDefault="00CF233A" w:rsidP="00470EA6">
      <w:pPr>
        <w:pStyle w:val="1"/>
        <w:numPr>
          <w:ilvl w:val="0"/>
          <w:numId w:val="0"/>
        </w:numPr>
        <w:tabs>
          <w:tab w:val="left" w:pos="993"/>
        </w:tabs>
        <w:spacing w:before="0" w:after="0"/>
        <w:ind w:left="284" w:firstLine="425"/>
      </w:pPr>
      <w:r>
        <w:t>При использовании для передачи данных от ПУ радиоканала в нелицензируемом диапазоне радиочастот (RF) модем должен обеспечивать работу в сетях с автоматической маршрутизацией передаваемых пакетов данных и автоматическом изменении конфигурации сети; ручное задание маршрутов передачи данных от ПУ до УСПД запрещено.</w:t>
      </w:r>
    </w:p>
    <w:p w:rsidR="008D4198" w:rsidRDefault="00CF233A" w:rsidP="00470EA6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Toc3205073"/>
      <w:bookmarkStart w:id="8" w:name="_Toc4574535"/>
      <w:bookmarkStart w:id="9" w:name="_Toc4574675"/>
      <w:r>
        <w:rPr>
          <w:rFonts w:ascii="Times New Roman" w:hAnsi="Times New Roman" w:cs="Times New Roman"/>
          <w:b/>
          <w:sz w:val="24"/>
          <w:szCs w:val="24"/>
        </w:rPr>
        <w:t>1.9. Требования к надёжности и безопасности</w:t>
      </w:r>
      <w:bookmarkEnd w:id="7"/>
      <w:bookmarkEnd w:id="8"/>
      <w:bookmarkEnd w:id="9"/>
    </w:p>
    <w:p w:rsidR="008D4198" w:rsidRDefault="00CF233A" w:rsidP="00470EA6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Комплекс технических средств системы учета с автоматизированным сбором данных по показателям надёжности должны соответствовать требованиям ГОСТ 27883-88 и требованиям технического регламента Таможенного союза ТС 004/2011 «О безопасности низковольтного оборудования».</w:t>
      </w:r>
    </w:p>
    <w:p w:rsidR="008D4198" w:rsidRDefault="00CF233A" w:rsidP="00470EA6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Система учета электроэнергии должна удовлетворять требованиям международных и российских нормативных документов по безопасности.</w:t>
      </w:r>
    </w:p>
    <w:p w:rsidR="008D4198" w:rsidRDefault="00CF233A" w:rsidP="00470EA6">
      <w:pPr>
        <w:tabs>
          <w:tab w:val="left" w:pos="851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элементы системы учета должны быть защищены:</w:t>
      </w:r>
    </w:p>
    <w:p w:rsidR="008D4198" w:rsidRDefault="00CF233A" w:rsidP="00470EA6">
      <w:pPr>
        <w:pStyle w:val="1"/>
        <w:widowControl w:val="0"/>
        <w:numPr>
          <w:ilvl w:val="0"/>
          <w:numId w:val="11"/>
        </w:numPr>
        <w:tabs>
          <w:tab w:val="clear" w:pos="720"/>
          <w:tab w:val="num" w:pos="0"/>
          <w:tab w:val="left" w:pos="709"/>
          <w:tab w:val="left" w:pos="851"/>
          <w:tab w:val="left" w:pos="993"/>
        </w:tabs>
        <w:spacing w:before="0" w:after="0"/>
        <w:ind w:left="284" w:firstLine="425"/>
      </w:pPr>
      <w:r>
        <w:t>от внезапных отключений напряжения питания аппаратуры;</w:t>
      </w:r>
    </w:p>
    <w:p w:rsidR="008D4198" w:rsidRDefault="00CF233A" w:rsidP="00470EA6">
      <w:pPr>
        <w:pStyle w:val="1"/>
        <w:numPr>
          <w:ilvl w:val="0"/>
          <w:numId w:val="11"/>
        </w:numPr>
        <w:tabs>
          <w:tab w:val="clear" w:pos="720"/>
          <w:tab w:val="num" w:pos="0"/>
          <w:tab w:val="left" w:pos="709"/>
          <w:tab w:val="left" w:pos="851"/>
          <w:tab w:val="left" w:pos="993"/>
        </w:tabs>
        <w:spacing w:before="0" w:after="0"/>
        <w:ind w:left="284" w:firstLine="425"/>
      </w:pPr>
      <w:r>
        <w:t>от помех и искажений при передаче информации;</w:t>
      </w:r>
    </w:p>
    <w:p w:rsidR="008D4198" w:rsidRDefault="00CF233A" w:rsidP="00470EA6">
      <w:pPr>
        <w:pStyle w:val="1"/>
        <w:numPr>
          <w:ilvl w:val="0"/>
          <w:numId w:val="11"/>
        </w:numPr>
        <w:tabs>
          <w:tab w:val="clear" w:pos="720"/>
          <w:tab w:val="num" w:pos="0"/>
          <w:tab w:val="left" w:pos="709"/>
          <w:tab w:val="left" w:pos="851"/>
          <w:tab w:val="left" w:pos="993"/>
        </w:tabs>
        <w:spacing w:before="0" w:after="0"/>
        <w:ind w:left="284" w:firstLine="425"/>
      </w:pPr>
      <w:r>
        <w:t>от влияния отклонений температурных параметров, влажности, электромагнитных полей по условиям работы аппаратуры;</w:t>
      </w:r>
    </w:p>
    <w:p w:rsidR="008D4198" w:rsidRDefault="00CF233A" w:rsidP="00470EA6">
      <w:pPr>
        <w:pStyle w:val="1"/>
        <w:numPr>
          <w:ilvl w:val="0"/>
          <w:numId w:val="11"/>
        </w:numPr>
        <w:tabs>
          <w:tab w:val="clear" w:pos="720"/>
          <w:tab w:val="num" w:pos="0"/>
          <w:tab w:val="left" w:pos="709"/>
          <w:tab w:val="left" w:pos="851"/>
          <w:tab w:val="left" w:pos="993"/>
        </w:tabs>
        <w:spacing w:before="0" w:after="0"/>
        <w:ind w:left="284" w:firstLine="425"/>
      </w:pPr>
      <w:r>
        <w:t>от несанкционированного доступа.</w:t>
      </w:r>
    </w:p>
    <w:p w:rsidR="008D4198" w:rsidRDefault="00CF233A" w:rsidP="00470EA6">
      <w:pPr>
        <w:pStyle w:val="1"/>
        <w:numPr>
          <w:ilvl w:val="0"/>
          <w:numId w:val="0"/>
        </w:numPr>
        <w:tabs>
          <w:tab w:val="left" w:pos="709"/>
          <w:tab w:val="left" w:pos="851"/>
        </w:tabs>
        <w:spacing w:before="0" w:after="0"/>
        <w:ind w:left="284" w:firstLine="425"/>
      </w:pPr>
      <w:r>
        <w:t xml:space="preserve">Программные средства должны обеспечивать многоуровневую систему защиты, как функционального программного обеспечения, так и защиты данных. </w:t>
      </w:r>
    </w:p>
    <w:p w:rsidR="008D4198" w:rsidRDefault="00CF233A" w:rsidP="00470EA6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0" w:name="_Toc3205074"/>
      <w:bookmarkStart w:id="11" w:name="_Toc4574536"/>
      <w:bookmarkStart w:id="12" w:name="_Toc4574676"/>
      <w:r>
        <w:rPr>
          <w:rFonts w:ascii="Times New Roman" w:hAnsi="Times New Roman" w:cs="Times New Roman"/>
          <w:b/>
          <w:sz w:val="24"/>
          <w:szCs w:val="24"/>
        </w:rPr>
        <w:t>1.10. Метрологические и другие требования к оборудованию</w:t>
      </w:r>
      <w:bookmarkEnd w:id="10"/>
      <w:bookmarkEnd w:id="11"/>
      <w:bookmarkEnd w:id="12"/>
    </w:p>
    <w:p w:rsidR="008D4198" w:rsidRDefault="00CF233A" w:rsidP="00470EA6">
      <w:pPr>
        <w:tabs>
          <w:tab w:val="left" w:pos="0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Средства измерения, входящие в состав системы учета электроэнергии, должны иметь:</w:t>
      </w:r>
    </w:p>
    <w:p w:rsidR="008D4198" w:rsidRDefault="00CF233A" w:rsidP="00470EA6">
      <w:pPr>
        <w:pStyle w:val="1"/>
        <w:numPr>
          <w:ilvl w:val="0"/>
          <w:numId w:val="12"/>
        </w:numPr>
        <w:tabs>
          <w:tab w:val="clear" w:pos="720"/>
          <w:tab w:val="left" w:pos="0"/>
          <w:tab w:val="num" w:pos="993"/>
        </w:tabs>
        <w:spacing w:before="0" w:after="0"/>
        <w:ind w:left="284" w:firstLine="425"/>
      </w:pPr>
      <w:r>
        <w:t>свидетельство об утверждении типа средств измерений Федерального агентства по техническому регулированию и метрологии и описание типа средств измерений;</w:t>
      </w:r>
    </w:p>
    <w:p w:rsidR="008D4198" w:rsidRDefault="00CF233A" w:rsidP="00470EA6">
      <w:pPr>
        <w:pStyle w:val="1"/>
        <w:numPr>
          <w:ilvl w:val="0"/>
          <w:numId w:val="12"/>
        </w:numPr>
        <w:tabs>
          <w:tab w:val="clear" w:pos="720"/>
          <w:tab w:val="left" w:pos="0"/>
          <w:tab w:val="num" w:pos="993"/>
        </w:tabs>
        <w:spacing w:before="0" w:after="0"/>
        <w:ind w:left="284" w:firstLine="425"/>
      </w:pPr>
      <w:r>
        <w:t>паспорта (формуляры) на ПУ с указанием сроков поверки;</w:t>
      </w:r>
    </w:p>
    <w:p w:rsidR="008D4198" w:rsidRDefault="00CF233A" w:rsidP="00470EA6">
      <w:pPr>
        <w:pStyle w:val="1"/>
        <w:numPr>
          <w:ilvl w:val="0"/>
          <w:numId w:val="12"/>
        </w:numPr>
        <w:tabs>
          <w:tab w:val="clear" w:pos="720"/>
          <w:tab w:val="left" w:pos="0"/>
          <w:tab w:val="num" w:pos="993"/>
        </w:tabs>
        <w:spacing w:before="0" w:after="0"/>
        <w:ind w:left="284" w:firstLine="425"/>
      </w:pPr>
      <w:r>
        <w:t>руководство по монтажу;</w:t>
      </w:r>
    </w:p>
    <w:p w:rsidR="008D4198" w:rsidRDefault="00CF233A" w:rsidP="00470EA6">
      <w:pPr>
        <w:pStyle w:val="1"/>
        <w:numPr>
          <w:ilvl w:val="0"/>
          <w:numId w:val="12"/>
        </w:numPr>
        <w:tabs>
          <w:tab w:val="clear" w:pos="720"/>
          <w:tab w:val="left" w:pos="0"/>
          <w:tab w:val="num" w:pos="993"/>
        </w:tabs>
        <w:spacing w:before="0" w:after="0"/>
        <w:ind w:left="284" w:firstLine="425"/>
      </w:pPr>
      <w:r>
        <w:t>руководство по эксплуатации;</w:t>
      </w:r>
    </w:p>
    <w:p w:rsidR="008D4198" w:rsidRDefault="00CF233A" w:rsidP="00470EA6">
      <w:pPr>
        <w:pStyle w:val="1"/>
        <w:numPr>
          <w:ilvl w:val="0"/>
          <w:numId w:val="12"/>
        </w:numPr>
        <w:tabs>
          <w:tab w:val="clear" w:pos="720"/>
          <w:tab w:val="left" w:pos="0"/>
          <w:tab w:val="num" w:pos="993"/>
        </w:tabs>
        <w:spacing w:before="0" w:after="0"/>
        <w:ind w:left="284" w:firstLine="425"/>
      </w:pPr>
      <w:r>
        <w:t>руководство пользователя (для программного обеспечения).</w:t>
      </w:r>
    </w:p>
    <w:p w:rsidR="008D4198" w:rsidRDefault="00CF233A" w:rsidP="00470EA6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3" w:name="_Toc3205075"/>
      <w:bookmarkStart w:id="14" w:name="_Toc4574537"/>
      <w:bookmarkStart w:id="15" w:name="_Toc4574677"/>
      <w:r>
        <w:rPr>
          <w:rFonts w:ascii="Times New Roman" w:hAnsi="Times New Roman" w:cs="Times New Roman"/>
          <w:b/>
          <w:sz w:val="24"/>
          <w:szCs w:val="24"/>
        </w:rPr>
        <w:t>1.11. Требования к электромагнитной совместимости</w:t>
      </w:r>
      <w:bookmarkEnd w:id="13"/>
      <w:bookmarkEnd w:id="14"/>
      <w:bookmarkEnd w:id="15"/>
    </w:p>
    <w:p w:rsidR="008D4198" w:rsidRDefault="00CF233A" w:rsidP="00470EA6">
      <w:pPr>
        <w:pStyle w:val="1"/>
        <w:numPr>
          <w:ilvl w:val="0"/>
          <w:numId w:val="0"/>
        </w:numPr>
        <w:tabs>
          <w:tab w:val="left" w:pos="851"/>
        </w:tabs>
        <w:spacing w:before="0" w:after="0"/>
        <w:ind w:left="284" w:firstLine="425"/>
      </w:pPr>
      <w:r>
        <w:t>Устройства системы учета должны удовлетворять требованиям Технического регламента Таможенного союза ТР ТС 020/2011 «Электромагнитная совместимость технических средств».</w:t>
      </w:r>
    </w:p>
    <w:p w:rsidR="008D4198" w:rsidRDefault="00CF233A" w:rsidP="00470EA6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6" w:name="_Toc3205079"/>
      <w:bookmarkStart w:id="17" w:name="_Toc4574542"/>
      <w:bookmarkStart w:id="18" w:name="_Toc4574682"/>
      <w:r>
        <w:rPr>
          <w:rFonts w:ascii="Times New Roman" w:hAnsi="Times New Roman" w:cs="Times New Roman"/>
          <w:b/>
          <w:sz w:val="24"/>
          <w:szCs w:val="24"/>
        </w:rPr>
        <w:t>1.12. Требования к защите информации от несанкционированного доступа</w:t>
      </w:r>
      <w:bookmarkEnd w:id="16"/>
      <w:bookmarkEnd w:id="17"/>
      <w:bookmarkEnd w:id="18"/>
    </w:p>
    <w:p w:rsidR="008D4198" w:rsidRDefault="00CF233A" w:rsidP="00470EA6">
      <w:pPr>
        <w:tabs>
          <w:tab w:val="left" w:pos="851"/>
          <w:tab w:val="left" w:pos="993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Защита от утечки информации должна обеспечиваться в соответствии с действующими нормативно-техническими документами.</w:t>
      </w:r>
    </w:p>
    <w:p w:rsidR="008D4198" w:rsidRDefault="00CF233A" w:rsidP="00470EA6">
      <w:pPr>
        <w:tabs>
          <w:tab w:val="left" w:pos="851"/>
          <w:tab w:val="left" w:pos="993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создании системы учета электроэнергии должны быть решены следующие вопросы обеспечения информационной безопасности:</w:t>
      </w:r>
    </w:p>
    <w:p w:rsidR="008D4198" w:rsidRDefault="00CF233A" w:rsidP="00470EA6">
      <w:pPr>
        <w:pStyle w:val="1"/>
        <w:numPr>
          <w:ilvl w:val="0"/>
          <w:numId w:val="9"/>
        </w:numPr>
        <w:tabs>
          <w:tab w:val="clear" w:pos="720"/>
          <w:tab w:val="left" w:pos="0"/>
          <w:tab w:val="left" w:pos="993"/>
        </w:tabs>
        <w:spacing w:before="0" w:after="0"/>
        <w:ind w:left="284" w:firstLine="425"/>
      </w:pPr>
      <w:r>
        <w:t>необходимость и целесообразность защиты каждой из компонентов системы;</w:t>
      </w:r>
    </w:p>
    <w:p w:rsidR="008D4198" w:rsidRDefault="00CF233A" w:rsidP="00470EA6">
      <w:pPr>
        <w:pStyle w:val="1"/>
        <w:numPr>
          <w:ilvl w:val="0"/>
          <w:numId w:val="9"/>
        </w:numPr>
        <w:tabs>
          <w:tab w:val="clear" w:pos="720"/>
          <w:tab w:val="left" w:pos="0"/>
          <w:tab w:val="left" w:pos="993"/>
        </w:tabs>
        <w:spacing w:before="0" w:after="0"/>
        <w:ind w:left="284" w:firstLine="425"/>
      </w:pPr>
      <w:r>
        <w:t>разработка или выбор методов и средств программно-технической защиты информационных ресурсов на этапах сбора, обработки и транспортировки информации с обеспечением степени ее защищенности, адекватной ценности и конфиденциальности содержания.</w:t>
      </w:r>
    </w:p>
    <w:p w:rsidR="008D4198" w:rsidRDefault="00CF233A" w:rsidP="00470EA6">
      <w:pPr>
        <w:pStyle w:val="1"/>
        <w:numPr>
          <w:ilvl w:val="0"/>
          <w:numId w:val="0"/>
        </w:numPr>
        <w:tabs>
          <w:tab w:val="left" w:pos="0"/>
          <w:tab w:val="left" w:pos="993"/>
        </w:tabs>
        <w:spacing w:before="0" w:after="0"/>
        <w:ind w:left="284" w:firstLine="425"/>
      </w:pPr>
      <w:r>
        <w:t>Используемые программно-технические средства защиты от несанкционированного доступа должны обеспечивать:</w:t>
      </w:r>
    </w:p>
    <w:p w:rsidR="008D4198" w:rsidRDefault="00CF233A" w:rsidP="00470EA6">
      <w:pPr>
        <w:pStyle w:val="1"/>
        <w:numPr>
          <w:ilvl w:val="0"/>
          <w:numId w:val="10"/>
        </w:numPr>
        <w:tabs>
          <w:tab w:val="left" w:pos="0"/>
          <w:tab w:val="left" w:pos="993"/>
        </w:tabs>
        <w:spacing w:before="0" w:after="0"/>
        <w:ind w:left="284" w:firstLine="425"/>
      </w:pPr>
      <w:r>
        <w:t>идентификацию пользователей;</w:t>
      </w:r>
    </w:p>
    <w:p w:rsidR="008D4198" w:rsidRDefault="00CF233A" w:rsidP="00470EA6">
      <w:pPr>
        <w:pStyle w:val="1"/>
        <w:numPr>
          <w:ilvl w:val="0"/>
          <w:numId w:val="10"/>
        </w:numPr>
        <w:tabs>
          <w:tab w:val="left" w:pos="0"/>
          <w:tab w:val="left" w:pos="993"/>
        </w:tabs>
        <w:spacing w:before="0" w:after="0"/>
        <w:ind w:left="284" w:firstLine="425"/>
      </w:pPr>
      <w:r>
        <w:t>передачу данных по сети в закодированном (зашифрованном) виде;</w:t>
      </w:r>
    </w:p>
    <w:p w:rsidR="008D4198" w:rsidRDefault="00CF233A" w:rsidP="00470EA6">
      <w:pPr>
        <w:pStyle w:val="1"/>
        <w:numPr>
          <w:ilvl w:val="0"/>
          <w:numId w:val="10"/>
        </w:numPr>
        <w:tabs>
          <w:tab w:val="left" w:pos="0"/>
          <w:tab w:val="left" w:pos="993"/>
        </w:tabs>
        <w:spacing w:before="0" w:after="0"/>
        <w:ind w:left="284" w:firstLine="425"/>
      </w:pPr>
      <w:r>
        <w:t>контроль за процессами обработки информации путем автоматического ведения системных журналов, в том числе, регистрацию попыток несанкционированного доступа, обнаруживаемых программными средствами защиты.</w:t>
      </w:r>
    </w:p>
    <w:p w:rsidR="008D4198" w:rsidRDefault="00CF233A" w:rsidP="00470EA6">
      <w:pPr>
        <w:pStyle w:val="1"/>
        <w:numPr>
          <w:ilvl w:val="0"/>
          <w:numId w:val="0"/>
        </w:numPr>
        <w:tabs>
          <w:tab w:val="left" w:pos="851"/>
          <w:tab w:val="left" w:pos="993"/>
        </w:tabs>
        <w:spacing w:before="0" w:after="0"/>
        <w:ind w:left="284" w:firstLine="425"/>
      </w:pPr>
      <w:r>
        <w:t>При совмещении в одном устройстве ПУ и измерений должны быть выполнены требования логического (виртуального) разделения передаваемых и преобразуемых данных учета от данных измерений для соблюдения защиты информации от несанкционированного доступа.</w:t>
      </w:r>
    </w:p>
    <w:p w:rsidR="008D4198" w:rsidRDefault="00CF233A" w:rsidP="00470EA6">
      <w:pPr>
        <w:tabs>
          <w:tab w:val="left" w:pos="851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выборе средств защиты информации, в том числе сопутствующего встроенного программного обеспечения, должно учитываться возможное наличие ограничений со стороны разработчиков (производителей) или иных лиц на применение программных или программно-аппаратных средств на всей территории Российской Федерации (п.31 Приказа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Федерации»).</w:t>
      </w:r>
    </w:p>
    <w:p w:rsidR="008D4198" w:rsidRDefault="00CF233A" w:rsidP="00470EA6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9" w:name="_Toc3205080"/>
      <w:bookmarkStart w:id="20" w:name="_Toc4574543"/>
      <w:bookmarkStart w:id="21" w:name="_Toc4574683"/>
      <w:r>
        <w:rPr>
          <w:rFonts w:ascii="Times New Roman" w:hAnsi="Times New Roman" w:cs="Times New Roman"/>
          <w:b/>
          <w:sz w:val="24"/>
          <w:szCs w:val="24"/>
        </w:rPr>
        <w:t>1.13. Требования к патентной чистоте</w:t>
      </w:r>
      <w:bookmarkEnd w:id="19"/>
      <w:bookmarkEnd w:id="20"/>
      <w:bookmarkEnd w:id="21"/>
    </w:p>
    <w:p w:rsidR="008D4198" w:rsidRDefault="00CF233A" w:rsidP="00470EA6">
      <w:pPr>
        <w:widowControl w:val="0"/>
        <w:tabs>
          <w:tab w:val="left" w:pos="851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Патентная чистота системы учета электроэнергии должна обеспечиваться в отношении России.</w:t>
      </w:r>
    </w:p>
    <w:p w:rsidR="008D4198" w:rsidRDefault="00CF233A" w:rsidP="00470EA6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2" w:name="_Toc3205081"/>
      <w:bookmarkStart w:id="23" w:name="_Toc4574545"/>
      <w:bookmarkStart w:id="24" w:name="_Toc4574685"/>
      <w:r>
        <w:rPr>
          <w:rFonts w:ascii="Times New Roman" w:hAnsi="Times New Roman" w:cs="Times New Roman"/>
          <w:b/>
          <w:sz w:val="24"/>
          <w:szCs w:val="24"/>
        </w:rPr>
        <w:t>1.14. Требования к информационному обмену между уровнями системы</w:t>
      </w:r>
      <w:bookmarkEnd w:id="22"/>
      <w:bookmarkEnd w:id="23"/>
      <w:bookmarkEnd w:id="24"/>
    </w:p>
    <w:p w:rsidR="008D4198" w:rsidRDefault="00CF233A" w:rsidP="00470EA6">
      <w:pPr>
        <w:tabs>
          <w:tab w:val="left" w:pos="851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 средствам коммуникаций между устанавливаемыми компонентами систем учета электроэнергии предъявляются следующие требования:</w:t>
      </w:r>
    </w:p>
    <w:p w:rsidR="008D4198" w:rsidRDefault="00CF233A" w:rsidP="00470EA6">
      <w:pPr>
        <w:pStyle w:val="1"/>
        <w:widowControl w:val="0"/>
        <w:numPr>
          <w:ilvl w:val="0"/>
          <w:numId w:val="8"/>
        </w:numPr>
        <w:tabs>
          <w:tab w:val="left" w:pos="0"/>
        </w:tabs>
        <w:spacing w:before="0" w:after="0"/>
        <w:ind w:left="284" w:firstLine="425"/>
      </w:pPr>
      <w:r>
        <w:t>поддержка протокола обмена данными с ПУ в соответствии со спецификацией СПОДЭС;</w:t>
      </w:r>
    </w:p>
    <w:p w:rsidR="008D4198" w:rsidRDefault="00CF233A" w:rsidP="00470EA6">
      <w:pPr>
        <w:pStyle w:val="1"/>
        <w:widowControl w:val="0"/>
        <w:numPr>
          <w:ilvl w:val="0"/>
          <w:numId w:val="8"/>
        </w:numPr>
        <w:tabs>
          <w:tab w:val="left" w:pos="0"/>
        </w:tabs>
        <w:spacing w:before="0" w:after="0"/>
        <w:ind w:left="284" w:firstLine="425"/>
      </w:pPr>
      <w:r>
        <w:t xml:space="preserve">поддержка международных стандартных протоколов серий ГОСТ Р МЭК 60870-5, МЭК 61850, </w:t>
      </w:r>
      <w:proofErr w:type="spellStart"/>
      <w:r>
        <w:t>Fieldbus</w:t>
      </w:r>
      <w:proofErr w:type="spellEnd"/>
      <w:r>
        <w:t xml:space="preserve"> (</w:t>
      </w:r>
      <w:proofErr w:type="spellStart"/>
      <w:r>
        <w:t>Profibus</w:t>
      </w:r>
      <w:proofErr w:type="spellEnd"/>
      <w:r>
        <w:t xml:space="preserve">, </w:t>
      </w:r>
      <w:proofErr w:type="spellStart"/>
      <w:r>
        <w:t>Modbus</w:t>
      </w:r>
      <w:proofErr w:type="spellEnd"/>
      <w:r>
        <w:t>) и др.;</w:t>
      </w:r>
    </w:p>
    <w:p w:rsidR="008D4198" w:rsidRDefault="00CF233A" w:rsidP="00470EA6">
      <w:pPr>
        <w:pStyle w:val="1"/>
        <w:widowControl w:val="0"/>
        <w:numPr>
          <w:ilvl w:val="0"/>
          <w:numId w:val="8"/>
        </w:numPr>
        <w:tabs>
          <w:tab w:val="left" w:pos="0"/>
        </w:tabs>
        <w:spacing w:before="0" w:after="0"/>
        <w:ind w:left="284" w:firstLine="425"/>
      </w:pPr>
      <w:r>
        <w:t>обеспечение синхронизации компонентов системы с местным временем;</w:t>
      </w:r>
    </w:p>
    <w:p w:rsidR="008D4198" w:rsidRDefault="00CF233A" w:rsidP="00470EA6">
      <w:pPr>
        <w:pStyle w:val="1"/>
        <w:widowControl w:val="0"/>
        <w:numPr>
          <w:ilvl w:val="0"/>
          <w:numId w:val="8"/>
        </w:numPr>
        <w:tabs>
          <w:tab w:val="left" w:pos="0"/>
        </w:tabs>
        <w:spacing w:before="0" w:after="0"/>
        <w:ind w:left="284" w:firstLine="425"/>
      </w:pPr>
      <w:r>
        <w:t>формирование служебной информации (результаты внутренней самодиагностики, синхронизации и т.п.).</w:t>
      </w:r>
    </w:p>
    <w:p w:rsidR="008D4198" w:rsidRDefault="00CF233A" w:rsidP="00470EA6">
      <w:pPr>
        <w:pStyle w:val="1"/>
        <w:numPr>
          <w:ilvl w:val="0"/>
          <w:numId w:val="8"/>
        </w:numPr>
        <w:tabs>
          <w:tab w:val="left" w:pos="0"/>
        </w:tabs>
        <w:spacing w:after="0"/>
        <w:ind w:left="284" w:firstLine="425"/>
      </w:pPr>
      <w:r>
        <w:t>дополнительные требования к информационному обмену между уровнями системы при совмещении в одном устройстве ПУ и измерений (в том числе виртуальных) определяются соответствующими действующими нормативно-техническими документами в области назначения применяемого прибора измерений.</w:t>
      </w:r>
    </w:p>
    <w:p w:rsidR="008D4198" w:rsidRDefault="00CF233A" w:rsidP="00470EA6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5" w:name="_Toc3205076"/>
      <w:bookmarkStart w:id="26" w:name="_Toc4574538"/>
      <w:bookmarkStart w:id="27" w:name="_Toc4574678"/>
      <w:r>
        <w:rPr>
          <w:rFonts w:ascii="Times New Roman" w:hAnsi="Times New Roman" w:cs="Times New Roman"/>
          <w:b/>
          <w:sz w:val="24"/>
          <w:szCs w:val="24"/>
        </w:rPr>
        <w:t>1.15. Требования по эксплуатации, техническому обслуживанию, ремонту и хранению</w:t>
      </w:r>
      <w:bookmarkEnd w:id="25"/>
      <w:bookmarkEnd w:id="26"/>
      <w:bookmarkEnd w:id="27"/>
    </w:p>
    <w:p w:rsidR="008D4198" w:rsidRDefault="00CF233A" w:rsidP="00470EA6">
      <w:pPr>
        <w:pStyle w:val="1"/>
        <w:numPr>
          <w:ilvl w:val="0"/>
          <w:numId w:val="0"/>
        </w:numPr>
        <w:tabs>
          <w:tab w:val="left" w:pos="851"/>
          <w:tab w:val="left" w:pos="993"/>
        </w:tabs>
        <w:spacing w:before="0" w:after="0"/>
        <w:ind w:left="284" w:firstLine="425"/>
      </w:pPr>
      <w:r>
        <w:t>Оборудование системы учета электроэнергии должно обеспечивать непрерывную работу в пределах срока службы при условии проведения ремонтно-восстановительных работ.</w:t>
      </w:r>
    </w:p>
    <w:p w:rsidR="008D4198" w:rsidRDefault="00CF233A" w:rsidP="00470EA6">
      <w:pPr>
        <w:pStyle w:val="1"/>
        <w:numPr>
          <w:ilvl w:val="0"/>
          <w:numId w:val="0"/>
        </w:numPr>
        <w:tabs>
          <w:tab w:val="left" w:pos="851"/>
          <w:tab w:val="left" w:pos="993"/>
        </w:tabs>
        <w:spacing w:before="0" w:after="0"/>
        <w:ind w:left="284" w:firstLine="425"/>
      </w:pPr>
      <w:r>
        <w:t xml:space="preserve">Восстановление работоспособности системы учета электроэнергии должно производиться путем замены неисправного оборудования из состава ЗИП, с последующим ремонтом за счет средств Подрядчика, вышедшего из строя оборудования в период гарантийного срока. Состав и количество оборудования в ЗИП – 3% от общего количества, для оборудования УСПД и БС – </w:t>
      </w:r>
      <w:r>
        <w:rPr>
          <w:lang w:val="en-US"/>
        </w:rPr>
        <w:t>N</w:t>
      </w:r>
      <w:r>
        <w:t xml:space="preserve">+1, где </w:t>
      </w:r>
      <w:r>
        <w:rPr>
          <w:lang w:val="en-US"/>
        </w:rPr>
        <w:t>N</w:t>
      </w:r>
      <w:r>
        <w:t xml:space="preserve"> – количество устанавливаемых УСПД и БС.</w:t>
      </w:r>
    </w:p>
    <w:p w:rsidR="008D4198" w:rsidRDefault="00CF233A" w:rsidP="00470EA6">
      <w:pPr>
        <w:pStyle w:val="1"/>
        <w:numPr>
          <w:ilvl w:val="0"/>
          <w:numId w:val="0"/>
        </w:numPr>
        <w:tabs>
          <w:tab w:val="left" w:pos="851"/>
          <w:tab w:val="left" w:pos="993"/>
        </w:tabs>
        <w:spacing w:before="0" w:after="0"/>
        <w:ind w:left="284" w:firstLine="425"/>
      </w:pPr>
      <w:r>
        <w:t>Технические средства системы учета электроэнергии должны быть обслуживаемыми устройствами. Техническое обслуживание должно заключаться в систематическом наблюдении за правильностью работы устройства, в регулярном техническом осмотре и устранении возникающих неисправностей допущенным для этих работ персоналом или обслуживающей организацией.</w:t>
      </w:r>
    </w:p>
    <w:p w:rsidR="008D4198" w:rsidRDefault="00CF233A" w:rsidP="00470EA6">
      <w:pPr>
        <w:pStyle w:val="1"/>
        <w:numPr>
          <w:ilvl w:val="0"/>
          <w:numId w:val="0"/>
        </w:numPr>
        <w:tabs>
          <w:tab w:val="left" w:pos="851"/>
          <w:tab w:val="left" w:pos="993"/>
        </w:tabs>
        <w:spacing w:before="0" w:after="0"/>
        <w:ind w:left="284" w:firstLine="425"/>
      </w:pPr>
      <w:r>
        <w:t>Условия хранения технических средств системы учета электроэнергии должны отвечать требованиям ГОСТ 15150-69.</w:t>
      </w:r>
    </w:p>
    <w:sectPr w:rsidR="008D4198" w:rsidSect="00DD7717">
      <w:pgSz w:w="16838" w:h="11906" w:orient="landscape"/>
      <w:pgMar w:top="426" w:right="709" w:bottom="566" w:left="42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617D" w:rsidRDefault="00DF617D">
      <w:pPr>
        <w:spacing w:after="0" w:line="240" w:lineRule="auto"/>
      </w:pPr>
      <w:r>
        <w:separator/>
      </w:r>
    </w:p>
  </w:endnote>
  <w:endnote w:type="continuationSeparator" w:id="0">
    <w:p w:rsidR="00DF617D" w:rsidRDefault="00DF61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617D" w:rsidRDefault="00DF617D">
      <w:pPr>
        <w:spacing w:after="0" w:line="240" w:lineRule="auto"/>
      </w:pPr>
      <w:r>
        <w:separator/>
      </w:r>
    </w:p>
  </w:footnote>
  <w:footnote w:type="continuationSeparator" w:id="0">
    <w:p w:rsidR="00DF617D" w:rsidRDefault="00DF61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B6508"/>
    <w:multiLevelType w:val="hybridMultilevel"/>
    <w:tmpl w:val="3E1062A8"/>
    <w:lvl w:ilvl="0" w:tplc="375AC906">
      <w:start w:val="15"/>
      <w:numFmt w:val="bullet"/>
      <w:lvlText w:val="-"/>
      <w:lvlJc w:val="left"/>
      <w:pPr>
        <w:ind w:left="1287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8B6411E0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5BA1B6C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55365B0E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820445A8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9848A8D8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E5CBFD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D7C5D0A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CAA00BA6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D1E5B01"/>
    <w:multiLevelType w:val="hybridMultilevel"/>
    <w:tmpl w:val="E0E8AA78"/>
    <w:lvl w:ilvl="0" w:tplc="4F9216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7F6CD5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92F8A2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9E82AE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37465D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3EFA7C2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6F2185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490CCE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C5A97F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2375D4"/>
    <w:multiLevelType w:val="multilevel"/>
    <w:tmpl w:val="598E0560"/>
    <w:lvl w:ilvl="0">
      <w:start w:val="1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>
      <w:start w:val="18"/>
      <w:numFmt w:val="decimal"/>
      <w:isLgl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" w15:restartNumberingAfterBreak="0">
    <w:nsid w:val="268E3E76"/>
    <w:multiLevelType w:val="hybridMultilevel"/>
    <w:tmpl w:val="C7883C72"/>
    <w:lvl w:ilvl="0" w:tplc="723870F2">
      <w:start w:val="15"/>
      <w:numFmt w:val="bullet"/>
      <w:lvlText w:val="-"/>
      <w:lvlJc w:val="left"/>
      <w:pPr>
        <w:ind w:left="1571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4FB899FE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3440D2C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A88512C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633C84A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D463022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E9D658D4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519AFC84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F4A304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2BB90FD1"/>
    <w:multiLevelType w:val="hybridMultilevel"/>
    <w:tmpl w:val="F6C0BA00"/>
    <w:lvl w:ilvl="0" w:tplc="1A18594A">
      <w:start w:val="15"/>
      <w:numFmt w:val="bullet"/>
      <w:lvlText w:val="-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13A7FDA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A367F4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84E6F904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C6CAAAF6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1857B0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9760DABA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9EE0BBE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C31C8054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BFD553A"/>
    <w:multiLevelType w:val="hybridMultilevel"/>
    <w:tmpl w:val="CE16DEA4"/>
    <w:lvl w:ilvl="0" w:tplc="C818D934">
      <w:start w:val="1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574EBA9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98E4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4AE7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9210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3B464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06FF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FC32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158BA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C51666"/>
    <w:multiLevelType w:val="hybridMultilevel"/>
    <w:tmpl w:val="E9983330"/>
    <w:lvl w:ilvl="0" w:tplc="08BA422A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CAD01B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728C8B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A1E1CB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940AFC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388E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C9D2F6A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F0A3FB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00C045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7B42A98"/>
    <w:multiLevelType w:val="hybridMultilevel"/>
    <w:tmpl w:val="7CF0891E"/>
    <w:lvl w:ilvl="0" w:tplc="D5663384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BA3E893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82E65C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6640B0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76E477E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36E7A1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EC02B08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43EABAB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3FC263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E562857"/>
    <w:multiLevelType w:val="hybridMultilevel"/>
    <w:tmpl w:val="8CC4D886"/>
    <w:lvl w:ilvl="0" w:tplc="2D16012C">
      <w:start w:val="15"/>
      <w:numFmt w:val="bullet"/>
      <w:lvlText w:val="-"/>
      <w:lvlJc w:val="left"/>
      <w:pPr>
        <w:ind w:left="1287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48DEFE2A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359E625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8182FF42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5D62A5A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6986438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5F088C2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BD26BEA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53D0DF20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31D6595"/>
    <w:multiLevelType w:val="hybridMultilevel"/>
    <w:tmpl w:val="A2D69848"/>
    <w:lvl w:ilvl="0" w:tplc="7D7EDE2E">
      <w:start w:val="15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3CF83FFA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A514930C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D025FC2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A2E550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6B6B2F2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94EE1750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9F2032F8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C380960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9320EFA"/>
    <w:multiLevelType w:val="hybridMultilevel"/>
    <w:tmpl w:val="6DAE437C"/>
    <w:lvl w:ilvl="0" w:tplc="383A9A2E">
      <w:start w:val="15"/>
      <w:numFmt w:val="bullet"/>
      <w:lvlText w:val="-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8204381C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EB24427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A48AEC12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61085D0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E3FA78BE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E88C5E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B22A6FA2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B9CA420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663B410A"/>
    <w:multiLevelType w:val="hybridMultilevel"/>
    <w:tmpl w:val="C5944B28"/>
    <w:lvl w:ilvl="0" w:tplc="CECCE69C">
      <w:start w:val="1"/>
      <w:numFmt w:val="decimal"/>
      <w:lvlText w:val="%1)"/>
      <w:lvlJc w:val="left"/>
    </w:lvl>
    <w:lvl w:ilvl="1" w:tplc="6F2C6568">
      <w:start w:val="1"/>
      <w:numFmt w:val="decimal"/>
      <w:lvlText w:val=""/>
      <w:lvlJc w:val="left"/>
    </w:lvl>
    <w:lvl w:ilvl="2" w:tplc="BA107388">
      <w:start w:val="1"/>
      <w:numFmt w:val="decimal"/>
      <w:lvlText w:val=""/>
      <w:lvlJc w:val="left"/>
    </w:lvl>
    <w:lvl w:ilvl="3" w:tplc="A3BCE322">
      <w:start w:val="1"/>
      <w:numFmt w:val="decimal"/>
      <w:lvlText w:val=""/>
      <w:lvlJc w:val="left"/>
    </w:lvl>
    <w:lvl w:ilvl="4" w:tplc="4E5C82BA">
      <w:start w:val="1"/>
      <w:numFmt w:val="decimal"/>
      <w:lvlText w:val=""/>
      <w:lvlJc w:val="left"/>
    </w:lvl>
    <w:lvl w:ilvl="5" w:tplc="93269A8C">
      <w:start w:val="1"/>
      <w:numFmt w:val="decimal"/>
      <w:lvlText w:val=""/>
      <w:lvlJc w:val="left"/>
    </w:lvl>
    <w:lvl w:ilvl="6" w:tplc="521EB5E0">
      <w:start w:val="1"/>
      <w:numFmt w:val="decimal"/>
      <w:lvlText w:val=""/>
      <w:lvlJc w:val="left"/>
    </w:lvl>
    <w:lvl w:ilvl="7" w:tplc="E05CBF02">
      <w:start w:val="1"/>
      <w:numFmt w:val="decimal"/>
      <w:lvlText w:val=""/>
      <w:lvlJc w:val="left"/>
    </w:lvl>
    <w:lvl w:ilvl="8" w:tplc="4ED0FBAE">
      <w:start w:val="1"/>
      <w:numFmt w:val="decimal"/>
      <w:lvlText w:val=""/>
      <w:lvlJc w:val="left"/>
    </w:lvl>
  </w:abstractNum>
  <w:abstractNum w:abstractNumId="12" w15:restartNumberingAfterBreak="0">
    <w:nsid w:val="67C302D5"/>
    <w:multiLevelType w:val="hybridMultilevel"/>
    <w:tmpl w:val="AFC240F0"/>
    <w:lvl w:ilvl="0" w:tplc="AB428570">
      <w:start w:val="1"/>
      <w:numFmt w:val="bullet"/>
      <w:lvlText w:val="-"/>
      <w:lvlJc w:val="left"/>
    </w:lvl>
    <w:lvl w:ilvl="1" w:tplc="B388F41A">
      <w:start w:val="1"/>
      <w:numFmt w:val="decimal"/>
      <w:lvlText w:val=""/>
      <w:lvlJc w:val="left"/>
    </w:lvl>
    <w:lvl w:ilvl="2" w:tplc="3E84DA80">
      <w:start w:val="1"/>
      <w:numFmt w:val="decimal"/>
      <w:lvlText w:val=""/>
      <w:lvlJc w:val="left"/>
    </w:lvl>
    <w:lvl w:ilvl="3" w:tplc="F9C21D04">
      <w:start w:val="1"/>
      <w:numFmt w:val="decimal"/>
      <w:lvlText w:val=""/>
      <w:lvlJc w:val="left"/>
    </w:lvl>
    <w:lvl w:ilvl="4" w:tplc="92C63C2C">
      <w:start w:val="1"/>
      <w:numFmt w:val="decimal"/>
      <w:lvlText w:val=""/>
      <w:lvlJc w:val="left"/>
    </w:lvl>
    <w:lvl w:ilvl="5" w:tplc="CF3CEF9E">
      <w:start w:val="1"/>
      <w:numFmt w:val="decimal"/>
      <w:lvlText w:val=""/>
      <w:lvlJc w:val="left"/>
    </w:lvl>
    <w:lvl w:ilvl="6" w:tplc="1D62A8A6">
      <w:start w:val="1"/>
      <w:numFmt w:val="decimal"/>
      <w:lvlText w:val=""/>
      <w:lvlJc w:val="left"/>
    </w:lvl>
    <w:lvl w:ilvl="7" w:tplc="78B8A3FC">
      <w:start w:val="1"/>
      <w:numFmt w:val="decimal"/>
      <w:lvlText w:val=""/>
      <w:lvlJc w:val="left"/>
    </w:lvl>
    <w:lvl w:ilvl="8" w:tplc="8E889F6E">
      <w:start w:val="1"/>
      <w:numFmt w:val="decimal"/>
      <w:lvlText w:val=""/>
      <w:lvlJc w:val="left"/>
    </w:lvl>
  </w:abstractNum>
  <w:abstractNum w:abstractNumId="13" w15:restartNumberingAfterBreak="0">
    <w:nsid w:val="6DFA5F16"/>
    <w:multiLevelType w:val="hybridMultilevel"/>
    <w:tmpl w:val="3BBC29C8"/>
    <w:lvl w:ilvl="0" w:tplc="4162BE44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B678A37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26B9A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8F3464E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4C469B0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62E61B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B80EA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DDE2E9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78C9D5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226720E"/>
    <w:multiLevelType w:val="hybridMultilevel"/>
    <w:tmpl w:val="9B9426B8"/>
    <w:lvl w:ilvl="0" w:tplc="C436E636">
      <w:start w:val="15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2D101F82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1C548C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1EE8A0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78BC1F5A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6AE00FE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913C292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8CB8EED2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6C6CD964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40D70EE"/>
    <w:multiLevelType w:val="hybridMultilevel"/>
    <w:tmpl w:val="78805320"/>
    <w:lvl w:ilvl="0" w:tplc="44EC878A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372CDAA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52CAB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6F26A29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5E02E60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C928AF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DB3293E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EC0E6D4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820094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7CC2385"/>
    <w:multiLevelType w:val="hybridMultilevel"/>
    <w:tmpl w:val="D2AA66CA"/>
    <w:lvl w:ilvl="0" w:tplc="BB4E4D72">
      <w:start w:val="1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908A95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F04D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C680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32881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4D00A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DA05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B4B3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4680F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3"/>
  </w:num>
  <w:num w:numId="4">
    <w:abstractNumId w:val="5"/>
  </w:num>
  <w:num w:numId="5">
    <w:abstractNumId w:val="16"/>
  </w:num>
  <w:num w:numId="6">
    <w:abstractNumId w:val="3"/>
  </w:num>
  <w:num w:numId="7">
    <w:abstractNumId w:val="4"/>
  </w:num>
  <w:num w:numId="8">
    <w:abstractNumId w:val="8"/>
  </w:num>
  <w:num w:numId="9">
    <w:abstractNumId w:val="7"/>
  </w:num>
  <w:num w:numId="10">
    <w:abstractNumId w:val="2"/>
  </w:num>
  <w:num w:numId="11">
    <w:abstractNumId w:val="15"/>
  </w:num>
  <w:num w:numId="12">
    <w:abstractNumId w:val="6"/>
  </w:num>
  <w:num w:numId="13">
    <w:abstractNumId w:val="0"/>
  </w:num>
  <w:num w:numId="14">
    <w:abstractNumId w:val="9"/>
  </w:num>
  <w:num w:numId="15">
    <w:abstractNumId w:val="14"/>
  </w:num>
  <w:num w:numId="16">
    <w:abstractNumId w:val="10"/>
  </w:num>
  <w:num w:numId="17">
    <w:abstractNumId w:val="1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198"/>
    <w:rsid w:val="00273369"/>
    <w:rsid w:val="00377743"/>
    <w:rsid w:val="00470EA6"/>
    <w:rsid w:val="00526EC9"/>
    <w:rsid w:val="00555F03"/>
    <w:rsid w:val="00704943"/>
    <w:rsid w:val="008A1AAD"/>
    <w:rsid w:val="008D4198"/>
    <w:rsid w:val="00B76559"/>
    <w:rsid w:val="00CF233A"/>
    <w:rsid w:val="00DD7717"/>
    <w:rsid w:val="00DF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ED7A8D-E2A0-47F3-BD5C-7C2FE956B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000FF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table" w:styleId="af8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List Paragraph"/>
    <w:basedOn w:val="a"/>
    <w:uiPriority w:val="99"/>
    <w:qFormat/>
    <w:pPr>
      <w:ind w:left="720"/>
      <w:contextualSpacing/>
    </w:pPr>
  </w:style>
  <w:style w:type="paragraph" w:customStyle="1" w:styleId="1">
    <w:name w:val="м1"/>
    <w:basedOn w:val="af9"/>
    <w:link w:val="14"/>
    <w:qFormat/>
    <w:pPr>
      <w:numPr>
        <w:numId w:val="3"/>
      </w:numPr>
      <w:spacing w:before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bidi="en-US"/>
    </w:rPr>
  </w:style>
  <w:style w:type="character" w:customStyle="1" w:styleId="14">
    <w:name w:val="м1 Знак"/>
    <w:link w:val="1"/>
    <w:rPr>
      <w:rFonts w:ascii="Times New Roman" w:eastAsia="Times New Roman" w:hAnsi="Times New Roman" w:cs="Times New Roman"/>
      <w:sz w:val="24"/>
      <w:szCs w:val="24"/>
      <w:lang w:bidi="en-US"/>
    </w:rPr>
  </w:style>
  <w:style w:type="character" w:customStyle="1" w:styleId="pt-a1">
    <w:name w:val="pt-a1"/>
    <w:basedOn w:val="a0"/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Segoe UI" w:hAnsi="Segoe UI" w:cs="Segoe UI"/>
      <w:sz w:val="18"/>
      <w:szCs w:val="18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character" w:styleId="aff1">
    <w:name w:val="Strong"/>
    <w:basedOn w:val="a0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ABAB85-0B9E-4699-85EF-6BF5B41BB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5473</Words>
  <Characters>31201</Characters>
  <Application>Microsoft Office Word</Application>
  <DocSecurity>4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Rom987</dc:creator>
  <cp:lastModifiedBy>Князева Виталия Дмитриевна</cp:lastModifiedBy>
  <cp:revision>2</cp:revision>
  <dcterms:created xsi:type="dcterms:W3CDTF">2025-04-14T07:22:00Z</dcterms:created>
  <dcterms:modified xsi:type="dcterms:W3CDTF">2025-04-14T07:22:00Z</dcterms:modified>
</cp:coreProperties>
</file>